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13453">
      <w:pPr>
        <w:widowControl/>
        <w:spacing w:line="440" w:lineRule="exact"/>
        <w:jc w:val="center"/>
        <w:outlineLvl w:val="2"/>
        <w:rPr>
          <w:rFonts w:hint="eastAsia" w:ascii="微软雅黑" w:hAnsi="微软雅黑" w:eastAsia="宋体" w:cs="宋体"/>
          <w:b/>
          <w:kern w:val="0"/>
          <w:sz w:val="36"/>
          <w:szCs w:val="36"/>
        </w:rPr>
      </w:pPr>
      <w:r>
        <w:rPr>
          <w:rFonts w:ascii="微软雅黑" w:hAnsi="微软雅黑" w:eastAsia="宋体" w:cs="宋体"/>
          <w:b/>
          <w:kern w:val="0"/>
          <w:sz w:val="36"/>
          <w:szCs w:val="36"/>
        </w:rPr>
        <w:t>合肥市第四十二中学湖畔分校</w:t>
      </w:r>
      <w:r>
        <w:rPr>
          <w:rFonts w:hint="eastAsia" w:ascii="微软雅黑" w:hAnsi="微软雅黑" w:eastAsia="宋体" w:cs="宋体"/>
          <w:b/>
          <w:kern w:val="0"/>
          <w:sz w:val="36"/>
          <w:szCs w:val="36"/>
        </w:rPr>
        <w:t>2024</w:t>
      </w:r>
      <w:r>
        <w:rPr>
          <w:rFonts w:ascii="微软雅黑" w:hAnsi="微软雅黑" w:eastAsia="宋体" w:cs="宋体"/>
          <w:b/>
          <w:kern w:val="0"/>
          <w:sz w:val="36"/>
          <w:szCs w:val="36"/>
        </w:rPr>
        <w:t>年学生</w:t>
      </w:r>
      <w:r>
        <w:rPr>
          <w:rFonts w:hint="eastAsia" w:ascii="微软雅黑" w:hAnsi="微软雅黑" w:eastAsia="宋体" w:cs="宋体"/>
          <w:b/>
          <w:kern w:val="0"/>
          <w:sz w:val="36"/>
          <w:szCs w:val="36"/>
        </w:rPr>
        <w:t>体质健康测试服务采购</w:t>
      </w:r>
      <w:r>
        <w:rPr>
          <w:rFonts w:hint="eastAsia" w:ascii="微软雅黑" w:hAnsi="微软雅黑" w:eastAsia="宋体" w:cs="宋体"/>
          <w:b/>
          <w:kern w:val="0"/>
          <w:sz w:val="36"/>
          <w:szCs w:val="36"/>
          <w:lang w:val="en-US" w:eastAsia="zh-CN"/>
        </w:rPr>
        <w:t>招标</w:t>
      </w:r>
      <w:r>
        <w:rPr>
          <w:rFonts w:ascii="微软雅黑" w:hAnsi="微软雅黑" w:eastAsia="宋体" w:cs="宋体"/>
          <w:b/>
          <w:kern w:val="0"/>
          <w:sz w:val="36"/>
          <w:szCs w:val="36"/>
        </w:rPr>
        <w:t>公告</w:t>
      </w:r>
    </w:p>
    <w:p w14:paraId="4B4145BE">
      <w:pPr>
        <w:widowControl/>
        <w:spacing w:line="440" w:lineRule="exact"/>
        <w:ind w:firstLine="408"/>
        <w:jc w:val="left"/>
        <w:rPr>
          <w:rFonts w:hint="eastAsia" w:ascii="仿宋" w:hAnsi="仿宋" w:eastAsia="仿宋" w:cs="宋体"/>
          <w:b/>
          <w:bCs/>
          <w:kern w:val="0"/>
          <w:sz w:val="30"/>
          <w:szCs w:val="30"/>
        </w:rPr>
      </w:pPr>
    </w:p>
    <w:p w14:paraId="221D71F3">
      <w:pPr>
        <w:outlineLvl w:val="0"/>
        <w:rPr>
          <w:rFonts w:hint="eastAsia" w:ascii="宋体" w:hAnsi="宋体" w:eastAsia="宋体" w:cs="宋体"/>
          <w:b/>
          <w:bCs/>
          <w:sz w:val="28"/>
          <w:szCs w:val="28"/>
        </w:rPr>
      </w:pPr>
      <w:r>
        <w:rPr>
          <w:rFonts w:hint="eastAsia" w:ascii="宋体" w:hAnsi="宋体" w:eastAsia="宋体" w:cs="宋体"/>
          <w:b/>
          <w:bCs/>
          <w:sz w:val="28"/>
          <w:szCs w:val="28"/>
        </w:rPr>
        <w:t>一、投标须知</w:t>
      </w:r>
    </w:p>
    <w:p w14:paraId="5EA94EA4">
      <w:pPr>
        <w:widowControl/>
        <w:spacing w:line="440" w:lineRule="exact"/>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1.项目名称：</w:t>
      </w:r>
      <w:r>
        <w:rPr>
          <w:rFonts w:cs="宋体" w:asciiTheme="minorEastAsia" w:hAnsiTheme="minorEastAsia"/>
          <w:kern w:val="0"/>
          <w:sz w:val="24"/>
          <w:szCs w:val="24"/>
        </w:rPr>
        <w:t>合肥市第四十二中学湖畔分校湖畔分校</w:t>
      </w:r>
      <w:r>
        <w:rPr>
          <w:rFonts w:hint="eastAsia" w:cs="宋体" w:asciiTheme="minorEastAsia" w:hAnsiTheme="minorEastAsia"/>
          <w:kern w:val="0"/>
          <w:sz w:val="24"/>
          <w:szCs w:val="24"/>
        </w:rPr>
        <w:t>2024</w:t>
      </w:r>
      <w:r>
        <w:rPr>
          <w:rFonts w:cs="宋体" w:asciiTheme="minorEastAsia" w:hAnsiTheme="minorEastAsia"/>
          <w:kern w:val="0"/>
          <w:sz w:val="24"/>
          <w:szCs w:val="24"/>
        </w:rPr>
        <w:t>年国家学生</w:t>
      </w:r>
      <w:r>
        <w:rPr>
          <w:rFonts w:hint="eastAsia" w:cs="宋体" w:asciiTheme="minorEastAsia" w:hAnsiTheme="minorEastAsia"/>
          <w:kern w:val="0"/>
          <w:sz w:val="24"/>
          <w:szCs w:val="24"/>
        </w:rPr>
        <w:t>体质健康测试服务采购</w:t>
      </w:r>
      <w:r>
        <w:rPr>
          <w:rFonts w:cs="宋体" w:asciiTheme="minorEastAsia" w:hAnsiTheme="minorEastAsia"/>
          <w:kern w:val="0"/>
          <w:sz w:val="24"/>
          <w:szCs w:val="24"/>
        </w:rPr>
        <w:t>项目</w:t>
      </w:r>
    </w:p>
    <w:p w14:paraId="0DF6BD0A">
      <w:pPr>
        <w:widowControl/>
        <w:spacing w:line="440" w:lineRule="exact"/>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2.采购人：合肥市第四十二中学湖畔分校</w:t>
      </w:r>
    </w:p>
    <w:p w14:paraId="4DBEEA7F">
      <w:pPr>
        <w:widowControl/>
        <w:spacing w:line="440" w:lineRule="exact"/>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kern w:val="0"/>
          <w:sz w:val="24"/>
          <w:szCs w:val="24"/>
        </w:rPr>
        <w:t>3.</w:t>
      </w:r>
      <w:r>
        <w:rPr>
          <w:rFonts w:hint="eastAsia" w:cs="宋体" w:asciiTheme="minorEastAsia" w:hAnsiTheme="minorEastAsia"/>
          <w:kern w:val="0"/>
          <w:sz w:val="24"/>
          <w:szCs w:val="24"/>
          <w:lang w:eastAsia="zh-CN"/>
        </w:rPr>
        <w:t>招标</w:t>
      </w:r>
      <w:r>
        <w:rPr>
          <w:rFonts w:hint="eastAsia" w:cs="宋体" w:asciiTheme="minorEastAsia" w:hAnsiTheme="minorEastAsia"/>
          <w:kern w:val="0"/>
          <w:sz w:val="24"/>
          <w:szCs w:val="24"/>
        </w:rPr>
        <w:t>文件</w:t>
      </w:r>
      <w:r>
        <w:rPr>
          <w:rFonts w:hint="eastAsia" w:cs="宋体" w:asciiTheme="minorEastAsia" w:hAnsiTheme="minorEastAsia"/>
          <w:color w:val="000000" w:themeColor="text1"/>
          <w:kern w:val="0"/>
          <w:sz w:val="24"/>
          <w:szCs w:val="24"/>
          <w14:textFill>
            <w14:solidFill>
              <w14:schemeClr w14:val="tx1"/>
            </w14:solidFill>
          </w14:textFill>
        </w:rPr>
        <w:t>递交地点：</w:t>
      </w:r>
      <w:r>
        <w:rPr>
          <w:rFonts w:hint="eastAsia" w:cs="宋体" w:asciiTheme="minorEastAsia" w:hAnsiTheme="minorEastAsia"/>
          <w:color w:val="000000" w:themeColor="text1"/>
          <w:kern w:val="0"/>
          <w:sz w:val="24"/>
          <w:szCs w:val="24"/>
          <w:u w:val="single"/>
          <w14:textFill>
            <w14:solidFill>
              <w14:schemeClr w14:val="tx1"/>
            </w14:solidFill>
          </w14:textFill>
        </w:rPr>
        <w:t>合肥市第四十二中学湖畔分校</w:t>
      </w:r>
    </w:p>
    <w:p w14:paraId="3036D704">
      <w:pPr>
        <w:widowControl/>
        <w:spacing w:line="440" w:lineRule="exact"/>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w:t>
      </w:r>
      <w:r>
        <w:rPr>
          <w:rFonts w:hint="eastAsia" w:cs="宋体" w:asciiTheme="minorEastAsia" w:hAnsiTheme="minorEastAsia"/>
          <w:color w:val="000000" w:themeColor="text1"/>
          <w:kern w:val="0"/>
          <w:sz w:val="24"/>
          <w:szCs w:val="24"/>
          <w:lang w:eastAsia="zh-CN"/>
          <w14:textFill>
            <w14:solidFill>
              <w14:schemeClr w14:val="tx1"/>
            </w14:solidFill>
          </w14:textFill>
        </w:rPr>
        <w:t>招标</w:t>
      </w:r>
      <w:r>
        <w:rPr>
          <w:rFonts w:hint="eastAsia" w:cs="宋体" w:asciiTheme="minorEastAsia" w:hAnsiTheme="minorEastAsia"/>
          <w:color w:val="000000" w:themeColor="text1"/>
          <w:kern w:val="0"/>
          <w:sz w:val="24"/>
          <w:szCs w:val="24"/>
          <w14:textFill>
            <w14:solidFill>
              <w14:schemeClr w14:val="tx1"/>
            </w14:solidFill>
          </w14:textFill>
        </w:rPr>
        <w:t>文件递交开始及截止时间：2024年</w:t>
      </w:r>
      <w:r>
        <w:rPr>
          <w:rFonts w:hint="eastAsia" w:cs="宋体" w:asciiTheme="minorEastAsia" w:hAnsiTheme="minorEastAsia"/>
          <w:color w:val="000000" w:themeColor="text1"/>
          <w:kern w:val="0"/>
          <w:sz w:val="24"/>
          <w:szCs w:val="24"/>
          <w:u w:val="single"/>
          <w14:textFill>
            <w14:solidFill>
              <w14:schemeClr w14:val="tx1"/>
            </w14:solidFill>
          </w14:textFill>
        </w:rPr>
        <w:t xml:space="preserve"> 10 </w:t>
      </w:r>
      <w:r>
        <w:rPr>
          <w:rFonts w:hint="eastAsia" w:cs="宋体" w:asciiTheme="minorEastAsia" w:hAnsiTheme="minorEastAsia"/>
          <w:color w:val="000000" w:themeColor="text1"/>
          <w:kern w:val="0"/>
          <w:sz w:val="24"/>
          <w:szCs w:val="24"/>
          <w14:textFill>
            <w14:solidFill>
              <w14:schemeClr w14:val="tx1"/>
            </w14:solidFill>
          </w14:textFill>
        </w:rPr>
        <w:t>月</w:t>
      </w:r>
      <w:r>
        <w:rPr>
          <w:rFonts w:hint="eastAsia" w:cs="宋体" w:asciiTheme="minorEastAsia" w:hAnsiTheme="minorEastAsia"/>
          <w:color w:val="000000" w:themeColor="text1"/>
          <w:kern w:val="0"/>
          <w:sz w:val="24"/>
          <w:szCs w:val="24"/>
          <w:u w:val="single"/>
          <w14:textFill>
            <w14:solidFill>
              <w14:schemeClr w14:val="tx1"/>
            </w14:solidFill>
          </w14:textFill>
        </w:rPr>
        <w:t xml:space="preserve"> </w:t>
      </w:r>
      <w:r>
        <w:rPr>
          <w:rFonts w:hint="eastAsia" w:cs="宋体" w:asciiTheme="minorEastAsia" w:hAnsiTheme="minorEastAsia"/>
          <w:color w:val="000000" w:themeColor="text1"/>
          <w:kern w:val="0"/>
          <w:sz w:val="24"/>
          <w:szCs w:val="24"/>
          <w:u w:val="single"/>
          <w:lang w:val="en-US" w:eastAsia="zh-CN"/>
          <w14:textFill>
            <w14:solidFill>
              <w14:schemeClr w14:val="tx1"/>
            </w14:solidFill>
          </w14:textFill>
        </w:rPr>
        <w:t>15</w:t>
      </w:r>
      <w:r>
        <w:rPr>
          <w:rFonts w:hint="eastAsia" w:cs="宋体" w:asciiTheme="minorEastAsia" w:hAnsiTheme="minorEastAsia"/>
          <w:color w:val="000000" w:themeColor="text1"/>
          <w:kern w:val="0"/>
          <w:sz w:val="24"/>
          <w:szCs w:val="24"/>
          <w14:textFill>
            <w14:solidFill>
              <w14:schemeClr w14:val="tx1"/>
            </w14:solidFill>
          </w14:textFill>
        </w:rPr>
        <w:t>日至2024年</w:t>
      </w:r>
      <w:r>
        <w:rPr>
          <w:rFonts w:hint="eastAsia" w:cs="宋体" w:asciiTheme="minorEastAsia" w:hAnsiTheme="minorEastAsia"/>
          <w:color w:val="000000" w:themeColor="text1"/>
          <w:kern w:val="0"/>
          <w:sz w:val="24"/>
          <w:szCs w:val="24"/>
          <w:u w:val="single"/>
          <w14:textFill>
            <w14:solidFill>
              <w14:schemeClr w14:val="tx1"/>
            </w14:solidFill>
          </w14:textFill>
        </w:rPr>
        <w:t xml:space="preserve"> 10 </w:t>
      </w:r>
      <w:r>
        <w:rPr>
          <w:rFonts w:hint="eastAsia" w:cs="宋体" w:asciiTheme="minorEastAsia" w:hAnsiTheme="minorEastAsia"/>
          <w:color w:val="000000" w:themeColor="text1"/>
          <w:kern w:val="0"/>
          <w:sz w:val="24"/>
          <w:szCs w:val="24"/>
          <w14:textFill>
            <w14:solidFill>
              <w14:schemeClr w14:val="tx1"/>
            </w14:solidFill>
          </w14:textFill>
        </w:rPr>
        <w:t>月</w:t>
      </w:r>
      <w:r>
        <w:rPr>
          <w:rFonts w:hint="eastAsia" w:cs="宋体" w:asciiTheme="minorEastAsia" w:hAnsiTheme="minorEastAsia"/>
          <w:color w:val="000000" w:themeColor="text1"/>
          <w:kern w:val="0"/>
          <w:sz w:val="24"/>
          <w:szCs w:val="24"/>
          <w:u w:val="single"/>
          <w14:textFill>
            <w14:solidFill>
              <w14:schemeClr w14:val="tx1"/>
            </w14:solidFill>
          </w14:textFill>
        </w:rPr>
        <w:t xml:space="preserve">  </w:t>
      </w:r>
      <w:r>
        <w:rPr>
          <w:rFonts w:hint="eastAsia" w:cs="宋体" w:asciiTheme="minorEastAsia" w:hAnsiTheme="minorEastAsia"/>
          <w:color w:val="000000" w:themeColor="text1"/>
          <w:kern w:val="0"/>
          <w:sz w:val="24"/>
          <w:szCs w:val="24"/>
          <w:u w:val="single"/>
          <w:lang w:val="en-US" w:eastAsia="zh-CN"/>
          <w14:textFill>
            <w14:solidFill>
              <w14:schemeClr w14:val="tx1"/>
            </w14:solidFill>
          </w14:textFill>
        </w:rPr>
        <w:t>22</w:t>
      </w:r>
      <w:r>
        <w:rPr>
          <w:rFonts w:hint="eastAsia" w:cs="宋体" w:asciiTheme="minorEastAsia" w:hAnsiTheme="minorEastAsia"/>
          <w:color w:val="000000" w:themeColor="text1"/>
          <w:kern w:val="0"/>
          <w:sz w:val="24"/>
          <w:szCs w:val="24"/>
          <w14:textFill>
            <w14:solidFill>
              <w14:schemeClr w14:val="tx1"/>
            </w14:solidFill>
          </w14:textFill>
        </w:rPr>
        <w:t>日；投标人应于2024年</w:t>
      </w:r>
      <w:r>
        <w:rPr>
          <w:rFonts w:hint="eastAsia" w:cs="宋体" w:asciiTheme="minorEastAsia" w:hAnsiTheme="minorEastAsia"/>
          <w:color w:val="000000" w:themeColor="text1"/>
          <w:kern w:val="0"/>
          <w:sz w:val="24"/>
          <w:szCs w:val="24"/>
          <w:u w:val="single"/>
          <w14:textFill>
            <w14:solidFill>
              <w14:schemeClr w14:val="tx1"/>
            </w14:solidFill>
          </w14:textFill>
        </w:rPr>
        <w:t xml:space="preserve"> 10</w:t>
      </w:r>
      <w:r>
        <w:rPr>
          <w:rFonts w:hint="eastAsia" w:cs="宋体" w:asciiTheme="minorEastAsia" w:hAnsiTheme="minorEastAsia"/>
          <w:color w:val="000000" w:themeColor="text1"/>
          <w:kern w:val="0"/>
          <w:sz w:val="24"/>
          <w:szCs w:val="24"/>
          <w14:textFill>
            <w14:solidFill>
              <w14:schemeClr w14:val="tx1"/>
            </w14:solidFill>
          </w14:textFill>
        </w:rPr>
        <w:t>月</w:t>
      </w:r>
      <w:r>
        <w:rPr>
          <w:rFonts w:hint="eastAsia" w:cs="宋体" w:asciiTheme="minorEastAsia" w:hAnsiTheme="minorEastAsia"/>
          <w:color w:val="000000" w:themeColor="text1"/>
          <w:kern w:val="0"/>
          <w:sz w:val="24"/>
          <w:szCs w:val="24"/>
          <w:u w:val="single"/>
          <w14:textFill>
            <w14:solidFill>
              <w14:schemeClr w14:val="tx1"/>
            </w14:solidFill>
          </w14:textFill>
        </w:rPr>
        <w:t xml:space="preserve"> </w:t>
      </w:r>
      <w:r>
        <w:rPr>
          <w:rFonts w:hint="eastAsia" w:cs="宋体" w:asciiTheme="minorEastAsia" w:hAnsiTheme="minorEastAsia"/>
          <w:color w:val="000000" w:themeColor="text1"/>
          <w:kern w:val="0"/>
          <w:sz w:val="24"/>
          <w:szCs w:val="24"/>
          <w:u w:val="single"/>
          <w:lang w:val="en-US" w:eastAsia="zh-CN"/>
          <w14:textFill>
            <w14:solidFill>
              <w14:schemeClr w14:val="tx1"/>
            </w14:solidFill>
          </w14:textFill>
        </w:rPr>
        <w:t>22</w:t>
      </w:r>
      <w:r>
        <w:rPr>
          <w:rFonts w:hint="eastAsia" w:cs="宋体" w:asciiTheme="minorEastAsia" w:hAnsiTheme="minorEastAsia"/>
          <w:color w:val="000000" w:themeColor="text1"/>
          <w:kern w:val="0"/>
          <w:sz w:val="24"/>
          <w:szCs w:val="24"/>
          <w14:textFill>
            <w14:solidFill>
              <w14:schemeClr w14:val="tx1"/>
            </w14:solidFill>
          </w14:textFill>
        </w:rPr>
        <w:t>日上午12:00前将报价文件密封送达</w:t>
      </w:r>
      <w:r>
        <w:rPr>
          <w:rFonts w:hint="eastAsia" w:cs="宋体" w:asciiTheme="minorEastAsia" w:hAnsiTheme="minorEastAsia"/>
          <w:color w:val="000000" w:themeColor="text1"/>
          <w:kern w:val="0"/>
          <w:sz w:val="24"/>
          <w:szCs w:val="24"/>
          <w:u w:val="single"/>
          <w14:textFill>
            <w14:solidFill>
              <w14:schemeClr w14:val="tx1"/>
            </w14:solidFill>
          </w14:textFill>
        </w:rPr>
        <w:t>合肥市第四十二中学湖畔分校</w:t>
      </w:r>
      <w:r>
        <w:rPr>
          <w:rFonts w:hint="eastAsia" w:cs="宋体" w:asciiTheme="minorEastAsia" w:hAnsiTheme="minorEastAsia"/>
          <w:color w:val="000000" w:themeColor="text1"/>
          <w:kern w:val="0"/>
          <w:sz w:val="24"/>
          <w:szCs w:val="24"/>
          <w:u w:val="single"/>
          <w:lang w:val="en-US" w:eastAsia="zh-CN"/>
          <w14:textFill>
            <w14:solidFill>
              <w14:schemeClr w14:val="tx1"/>
            </w14:solidFill>
          </w14:textFill>
        </w:rPr>
        <w:t>总</w:t>
      </w:r>
      <w:r>
        <w:rPr>
          <w:rFonts w:hint="eastAsia" w:cs="宋体" w:asciiTheme="minorEastAsia" w:hAnsiTheme="minorEastAsia"/>
          <w:color w:val="000000" w:themeColor="text1"/>
          <w:kern w:val="0"/>
          <w:sz w:val="24"/>
          <w:szCs w:val="24"/>
          <w:u w:val="single"/>
          <w14:textFill>
            <w14:solidFill>
              <w14:schemeClr w14:val="tx1"/>
            </w14:solidFill>
          </w14:textFill>
        </w:rPr>
        <w:t>务处</w:t>
      </w:r>
      <w:r>
        <w:rPr>
          <w:rFonts w:hint="eastAsia" w:cs="宋体" w:asciiTheme="minorEastAsia" w:hAnsiTheme="minorEastAsia"/>
          <w:color w:val="000000" w:themeColor="text1"/>
          <w:kern w:val="0"/>
          <w:sz w:val="24"/>
          <w:szCs w:val="24"/>
          <w14:textFill>
            <w14:solidFill>
              <w14:schemeClr w14:val="tx1"/>
            </w14:solidFill>
          </w14:textFill>
        </w:rPr>
        <w:t>，逾期送达的将拒收。</w:t>
      </w:r>
    </w:p>
    <w:p w14:paraId="42E375DE">
      <w:pPr>
        <w:widowControl/>
        <w:spacing w:line="440" w:lineRule="exact"/>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w:t>
      </w:r>
      <w:r>
        <w:rPr>
          <w:rFonts w:hint="eastAsia" w:cs="宋体" w:asciiTheme="minorEastAsia" w:hAnsiTheme="minorEastAsia"/>
          <w:bCs/>
          <w:color w:val="000000" w:themeColor="text1"/>
          <w:kern w:val="0"/>
          <w:sz w:val="24"/>
          <w:szCs w:val="24"/>
          <w14:textFill>
            <w14:solidFill>
              <w14:schemeClr w14:val="tx1"/>
            </w14:solidFill>
          </w14:textFill>
        </w:rPr>
        <w:t>评标时间、地点及办法</w:t>
      </w:r>
      <w:r>
        <w:rPr>
          <w:rFonts w:hint="eastAsia" w:cs="宋体" w:asciiTheme="minorEastAsia" w:hAnsiTheme="minorEastAsia"/>
          <w:color w:val="000000" w:themeColor="text1"/>
          <w:kern w:val="0"/>
          <w:sz w:val="24"/>
          <w:szCs w:val="24"/>
          <w14:textFill>
            <w14:solidFill>
              <w14:schemeClr w14:val="tx1"/>
            </w14:solidFill>
          </w14:textFill>
        </w:rPr>
        <w:t>：2024年</w:t>
      </w:r>
      <w:r>
        <w:rPr>
          <w:rFonts w:hint="eastAsia" w:cs="宋体" w:asciiTheme="minorEastAsia" w:hAnsiTheme="minorEastAsia"/>
          <w:color w:val="000000" w:themeColor="text1"/>
          <w:kern w:val="0"/>
          <w:sz w:val="24"/>
          <w:szCs w:val="24"/>
          <w:u w:val="single"/>
          <w14:textFill>
            <w14:solidFill>
              <w14:schemeClr w14:val="tx1"/>
            </w14:solidFill>
          </w14:textFill>
        </w:rPr>
        <w:t xml:space="preserve"> 10</w:t>
      </w:r>
      <w:r>
        <w:rPr>
          <w:rFonts w:hint="eastAsia" w:cs="宋体" w:asciiTheme="minorEastAsia" w:hAnsiTheme="minorEastAsia"/>
          <w:color w:val="000000" w:themeColor="text1"/>
          <w:kern w:val="0"/>
          <w:sz w:val="24"/>
          <w:szCs w:val="24"/>
          <w14:textFill>
            <w14:solidFill>
              <w14:schemeClr w14:val="tx1"/>
            </w14:solidFill>
          </w14:textFill>
        </w:rPr>
        <w:t>月</w:t>
      </w:r>
      <w:r>
        <w:rPr>
          <w:rFonts w:hint="eastAsia" w:cs="宋体" w:asciiTheme="minorEastAsia" w:hAnsiTheme="minorEastAsia"/>
          <w:color w:val="000000" w:themeColor="text1"/>
          <w:kern w:val="0"/>
          <w:sz w:val="24"/>
          <w:szCs w:val="24"/>
          <w:u w:val="single"/>
          <w14:textFill>
            <w14:solidFill>
              <w14:schemeClr w14:val="tx1"/>
            </w14:solidFill>
          </w14:textFill>
        </w:rPr>
        <w:t xml:space="preserve"> </w:t>
      </w:r>
      <w:r>
        <w:rPr>
          <w:rFonts w:hint="eastAsia" w:cs="宋体" w:asciiTheme="minorEastAsia" w:hAnsiTheme="minorEastAsia"/>
          <w:color w:val="000000" w:themeColor="text1"/>
          <w:kern w:val="0"/>
          <w:sz w:val="24"/>
          <w:szCs w:val="24"/>
          <w:u w:val="single"/>
          <w:lang w:val="en-US" w:eastAsia="zh-CN"/>
          <w14:textFill>
            <w14:solidFill>
              <w14:schemeClr w14:val="tx1"/>
            </w14:solidFill>
          </w14:textFill>
        </w:rPr>
        <w:t>28</w:t>
      </w:r>
      <w:r>
        <w:rPr>
          <w:rFonts w:hint="eastAsia" w:cs="宋体" w:asciiTheme="minorEastAsia" w:hAnsiTheme="minorEastAsia"/>
          <w:color w:val="000000" w:themeColor="text1"/>
          <w:kern w:val="0"/>
          <w:sz w:val="24"/>
          <w:szCs w:val="24"/>
          <w14:textFill>
            <w14:solidFill>
              <w14:schemeClr w14:val="tx1"/>
            </w14:solidFill>
          </w14:textFill>
        </w:rPr>
        <w:t>日下午，在合肥市第四十二中学湖畔分校</w:t>
      </w:r>
      <w:r>
        <w:rPr>
          <w:rFonts w:hint="eastAsia" w:cs="宋体" w:asciiTheme="minorEastAsia" w:hAnsiTheme="minorEastAsia"/>
          <w:color w:val="000000" w:themeColor="text1"/>
          <w:kern w:val="0"/>
          <w:sz w:val="24"/>
          <w:szCs w:val="24"/>
          <w:lang w:val="en-US" w:eastAsia="zh-CN"/>
          <w14:textFill>
            <w14:solidFill>
              <w14:schemeClr w14:val="tx1"/>
            </w14:solidFill>
          </w14:textFill>
        </w:rPr>
        <w:t>综合楼三</w:t>
      </w:r>
      <w:r>
        <w:rPr>
          <w:rFonts w:hint="eastAsia" w:cs="宋体" w:asciiTheme="minorEastAsia" w:hAnsiTheme="minorEastAsia"/>
          <w:color w:val="000000" w:themeColor="text1"/>
          <w:kern w:val="0"/>
          <w:sz w:val="24"/>
          <w:szCs w:val="24"/>
          <w:u w:val="single"/>
          <w14:textFill>
            <w14:solidFill>
              <w14:schemeClr w14:val="tx1"/>
            </w14:solidFill>
          </w14:textFill>
        </w:rPr>
        <w:t>楼会议室</w:t>
      </w:r>
      <w:r>
        <w:rPr>
          <w:rFonts w:hint="eastAsia" w:cs="宋体" w:asciiTheme="minorEastAsia" w:hAnsiTheme="minorEastAsia"/>
          <w:color w:val="000000" w:themeColor="text1"/>
          <w:kern w:val="0"/>
          <w:sz w:val="24"/>
          <w:szCs w:val="24"/>
          <w14:textFill>
            <w14:solidFill>
              <w14:schemeClr w14:val="tx1"/>
            </w14:solidFill>
          </w14:textFill>
        </w:rPr>
        <w:t>评标，采用综合评标法，按总分高低确定一家中标人，采购人不对未中标原因做任何解释。</w:t>
      </w:r>
    </w:p>
    <w:p w14:paraId="2B2D8F14">
      <w:pPr>
        <w:widowControl/>
        <w:spacing w:line="440" w:lineRule="exact"/>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6.项目联系人和</w:t>
      </w:r>
      <w:r>
        <w:rPr>
          <w:rFonts w:hint="eastAsia" w:cs="宋体" w:asciiTheme="minorEastAsia" w:hAnsiTheme="minorEastAsia"/>
          <w:color w:val="000000" w:themeColor="text1"/>
          <w:kern w:val="0"/>
          <w:sz w:val="24"/>
          <w:szCs w:val="24"/>
          <w:lang w:eastAsia="zh-CN"/>
          <w14:textFill>
            <w14:solidFill>
              <w14:schemeClr w14:val="tx1"/>
            </w14:solidFill>
          </w14:textFill>
        </w:rPr>
        <w:t>招标</w:t>
      </w:r>
      <w:r>
        <w:rPr>
          <w:rFonts w:hint="eastAsia" w:cs="宋体" w:asciiTheme="minorEastAsia" w:hAnsiTheme="minorEastAsia"/>
          <w:color w:val="000000" w:themeColor="text1"/>
          <w:kern w:val="0"/>
          <w:sz w:val="24"/>
          <w:szCs w:val="24"/>
          <w14:textFill>
            <w14:solidFill>
              <w14:schemeClr w14:val="tx1"/>
            </w14:solidFill>
          </w14:textFill>
        </w:rPr>
        <w:t>文件接收人：</w:t>
      </w:r>
      <w:r>
        <w:rPr>
          <w:rFonts w:hint="eastAsia" w:cs="宋体" w:asciiTheme="minorEastAsia" w:hAnsiTheme="minorEastAsia"/>
          <w:color w:val="000000" w:themeColor="text1"/>
          <w:kern w:val="0"/>
          <w:sz w:val="24"/>
          <w:szCs w:val="24"/>
          <w:lang w:val="en-US" w:eastAsia="zh-CN"/>
          <w14:textFill>
            <w14:solidFill>
              <w14:schemeClr w14:val="tx1"/>
            </w14:solidFill>
          </w14:textFill>
        </w:rPr>
        <w:t>朱</w:t>
      </w:r>
      <w:r>
        <w:rPr>
          <w:rFonts w:hint="eastAsia" w:cs="宋体" w:asciiTheme="minorEastAsia" w:hAnsiTheme="minorEastAsia"/>
          <w:color w:val="000000" w:themeColor="text1"/>
          <w:kern w:val="0"/>
          <w:sz w:val="24"/>
          <w:szCs w:val="24"/>
          <w14:textFill>
            <w14:solidFill>
              <w14:schemeClr w14:val="tx1"/>
            </w14:solidFill>
          </w14:textFill>
        </w:rPr>
        <w:t>老师（电话</w:t>
      </w:r>
      <w:bookmarkStart w:id="26" w:name="_GoBack"/>
      <w:bookmarkEnd w:id="26"/>
      <w:r>
        <w:rPr>
          <w:rFonts w:hint="eastAsia" w:cs="宋体" w:asciiTheme="minorEastAsia" w:hAnsiTheme="minorEastAsia"/>
          <w:color w:val="000000" w:themeColor="text1"/>
          <w:kern w:val="0"/>
          <w:sz w:val="24"/>
          <w:szCs w:val="24"/>
          <w14:textFill>
            <w14:solidFill>
              <w14:schemeClr w14:val="tx1"/>
            </w14:solidFill>
          </w14:textFill>
        </w:rPr>
        <w:t>：0551-</w:t>
      </w:r>
      <w:r>
        <w:rPr>
          <w:rFonts w:hint="eastAsia" w:cs="宋体" w:asciiTheme="minorEastAsia" w:hAnsiTheme="minorEastAsia"/>
          <w:color w:val="000000" w:themeColor="text1"/>
          <w:kern w:val="0"/>
          <w:sz w:val="24"/>
          <w:szCs w:val="24"/>
          <w:lang w:val="en-US" w:eastAsia="zh-CN"/>
          <w14:textFill>
            <w14:solidFill>
              <w14:schemeClr w14:val="tx1"/>
            </w14:solidFill>
          </w14:textFill>
        </w:rPr>
        <w:t>65711273</w:t>
      </w:r>
      <w:r>
        <w:rPr>
          <w:rFonts w:hint="eastAsia" w:cs="宋体" w:asciiTheme="minorEastAsia" w:hAnsiTheme="minorEastAsia"/>
          <w:color w:val="000000" w:themeColor="text1"/>
          <w:kern w:val="0"/>
          <w:sz w:val="24"/>
          <w:szCs w:val="24"/>
          <w14:textFill>
            <w14:solidFill>
              <w14:schemeClr w14:val="tx1"/>
            </w14:solidFill>
          </w14:textFill>
        </w:rPr>
        <w:t>）</w:t>
      </w:r>
    </w:p>
    <w:p w14:paraId="0DD6CC68">
      <w:pPr>
        <w:widowControl/>
        <w:spacing w:line="440" w:lineRule="exact"/>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7.服务地点：合肥市第四十二中学湖畔分校</w:t>
      </w:r>
    </w:p>
    <w:p w14:paraId="046C78F8">
      <w:pPr>
        <w:widowControl/>
        <w:spacing w:before="75" w:after="75" w:line="440" w:lineRule="exact"/>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8.付款方式：中标人在接到中标通知的三天内与学校签署合同,测试服务结束且双方对本次服务无异议，一周内付清全部款项，项目费用据实结算。</w:t>
      </w:r>
    </w:p>
    <w:p w14:paraId="506964A3">
      <w:pPr>
        <w:spacing w:line="480" w:lineRule="exact"/>
        <w:ind w:firstLine="480" w:firstLineChars="200"/>
        <w:rPr>
          <w:sz w:val="24"/>
          <w:szCs w:val="24"/>
        </w:rPr>
      </w:pPr>
      <w:r>
        <w:rPr>
          <w:rFonts w:hint="eastAsia" w:cs="宋体" w:asciiTheme="minorEastAsia" w:hAnsiTheme="minorEastAsia"/>
          <w:kern w:val="0"/>
          <w:sz w:val="24"/>
          <w:szCs w:val="24"/>
        </w:rPr>
        <w:t>9.合同有效期：签订之日起一年期，</w:t>
      </w:r>
      <w:r>
        <w:rPr>
          <w:sz w:val="24"/>
          <w:szCs w:val="24"/>
        </w:rPr>
        <w:t>一年期满经采购人考核合格，经双方同意，</w:t>
      </w:r>
      <w:r>
        <w:rPr>
          <w:rFonts w:hint="eastAsia"/>
          <w:sz w:val="24"/>
          <w:szCs w:val="24"/>
        </w:rPr>
        <w:t>最多</w:t>
      </w:r>
      <w:r>
        <w:rPr>
          <w:sz w:val="24"/>
          <w:szCs w:val="24"/>
        </w:rPr>
        <w:t>可续签</w:t>
      </w:r>
      <w:r>
        <w:rPr>
          <w:rFonts w:hint="eastAsia"/>
          <w:sz w:val="24"/>
          <w:szCs w:val="24"/>
        </w:rPr>
        <w:t>两年</w:t>
      </w:r>
      <w:r>
        <w:rPr>
          <w:sz w:val="24"/>
          <w:szCs w:val="24"/>
        </w:rPr>
        <w:t>，合同续签一年一签，续签价不超过合同价。</w:t>
      </w:r>
    </w:p>
    <w:p w14:paraId="764690F0">
      <w:pPr>
        <w:widowControl/>
        <w:spacing w:line="440" w:lineRule="exact"/>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10.项目预算：26元/人/年。</w:t>
      </w:r>
    </w:p>
    <w:p w14:paraId="0C332B38">
      <w:pPr>
        <w:outlineLvl w:val="0"/>
        <w:rPr>
          <w:rFonts w:hint="eastAsia" w:ascii="宋体" w:hAnsi="宋体" w:eastAsia="宋体" w:cs="宋体"/>
          <w:b/>
          <w:bCs/>
          <w:sz w:val="28"/>
          <w:szCs w:val="28"/>
        </w:rPr>
      </w:pPr>
      <w:r>
        <w:rPr>
          <w:rFonts w:hint="eastAsia" w:ascii="宋体" w:hAnsi="宋体" w:eastAsia="宋体" w:cs="宋体"/>
          <w:b/>
          <w:bCs/>
          <w:sz w:val="28"/>
          <w:szCs w:val="28"/>
        </w:rPr>
        <w:t>二、</w:t>
      </w:r>
      <w:r>
        <w:rPr>
          <w:rFonts w:hint="eastAsia" w:ascii="宋体" w:hAnsi="宋体" w:eastAsia="宋体" w:cs="宋体"/>
          <w:b/>
          <w:bCs/>
          <w:sz w:val="28"/>
          <w:szCs w:val="28"/>
          <w:lang w:val="en-US" w:eastAsia="zh-CN"/>
        </w:rPr>
        <w:t>投标</w:t>
      </w:r>
      <w:r>
        <w:rPr>
          <w:rFonts w:hint="eastAsia" w:ascii="宋体" w:hAnsi="宋体" w:eastAsia="宋体" w:cs="宋体"/>
          <w:b/>
          <w:bCs/>
          <w:sz w:val="28"/>
          <w:szCs w:val="28"/>
        </w:rPr>
        <w:t>人资格要求</w:t>
      </w:r>
    </w:p>
    <w:p w14:paraId="220DC9B4">
      <w:pPr>
        <w:spacing w:line="480" w:lineRule="exact"/>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1.在中华人民共和国境内注册，经年检合格，所投服务在经营范围内；</w:t>
      </w:r>
    </w:p>
    <w:p w14:paraId="05FFC760">
      <w:pPr>
        <w:spacing w:line="480" w:lineRule="exact"/>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2</w:t>
      </w:r>
      <w:r>
        <w:rPr>
          <w:rFonts w:cs="宋体" w:asciiTheme="minorEastAsia" w:hAnsiTheme="minorEastAsia"/>
          <w:kern w:val="0"/>
          <w:sz w:val="24"/>
          <w:szCs w:val="24"/>
        </w:rPr>
        <w:t>.</w:t>
      </w:r>
      <w:r>
        <w:rPr>
          <w:rFonts w:hint="eastAsia" w:cs="宋体" w:asciiTheme="minorEastAsia" w:hAnsiTheme="minorEastAsia"/>
          <w:kern w:val="0"/>
          <w:sz w:val="24"/>
          <w:szCs w:val="24"/>
        </w:rPr>
        <w:t>报价</w:t>
      </w:r>
      <w:r>
        <w:rPr>
          <w:rFonts w:cs="宋体" w:asciiTheme="minorEastAsia" w:hAnsiTheme="minorEastAsia"/>
          <w:kern w:val="0"/>
          <w:sz w:val="24"/>
          <w:szCs w:val="24"/>
        </w:rPr>
        <w:t>供应商符合《中华人民共和国政府采购法》第二十二条规定；</w:t>
      </w:r>
    </w:p>
    <w:p w14:paraId="40905E34">
      <w:pPr>
        <w:spacing w:line="480" w:lineRule="exact"/>
        <w:ind w:firstLine="480" w:firstLineChars="200"/>
        <w:rPr>
          <w:rFonts w:hint="eastAsia"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评标委员会按照规定的资格审查标准，对各报价供应商依次进行审查。有一项不符合审查标准的，资格审查不合格，其投标无效。</w:t>
      </w:r>
    </w:p>
    <w:p w14:paraId="7D7AD0CC">
      <w:pPr>
        <w:widowControl/>
        <w:spacing w:line="440" w:lineRule="exact"/>
        <w:ind w:firstLine="568" w:firstLineChars="237"/>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报价供应商有以下情形之一的，资格审查不合格，其投标无效：</w:t>
      </w:r>
    </w:p>
    <w:p w14:paraId="6BA90F21">
      <w:pPr>
        <w:widowControl/>
        <w:spacing w:line="440" w:lineRule="exact"/>
        <w:ind w:firstLine="568" w:firstLineChars="237"/>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（1）有弄虚作假、向评标委员会行贿等违法行为；</w:t>
      </w:r>
    </w:p>
    <w:p w14:paraId="4FB649EB">
      <w:pPr>
        <w:widowControl/>
        <w:spacing w:line="440" w:lineRule="exact"/>
        <w:ind w:firstLine="568" w:firstLineChars="237"/>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（2）不按照评标委员会要求澄清、补正的。</w:t>
      </w:r>
    </w:p>
    <w:p w14:paraId="1F3E89A0">
      <w:pPr>
        <w:widowControl/>
        <w:spacing w:line="440" w:lineRule="exact"/>
        <w:ind w:firstLine="568" w:firstLineChars="237"/>
        <w:jc w:val="left"/>
        <w:rPr>
          <w:rFonts w:hint="eastAsia" w:cs="宋体" w:asciiTheme="minorEastAsia" w:hAnsiTheme="minorEastAsia"/>
          <w:kern w:val="0"/>
          <w:sz w:val="24"/>
          <w:szCs w:val="24"/>
        </w:rPr>
      </w:pPr>
    </w:p>
    <w:p w14:paraId="3D327D04">
      <w:pPr>
        <w:outlineLvl w:val="0"/>
        <w:rPr>
          <w:rFonts w:hint="eastAsia" w:ascii="宋体" w:hAnsi="宋体" w:eastAsia="宋体" w:cs="宋体"/>
          <w:b/>
          <w:bCs/>
          <w:sz w:val="28"/>
          <w:szCs w:val="28"/>
        </w:rPr>
      </w:pPr>
      <w:bookmarkStart w:id="0" w:name="OLE_LINK7"/>
      <w:r>
        <w:rPr>
          <w:rFonts w:hint="eastAsia" w:ascii="宋体" w:hAnsi="宋体" w:eastAsia="宋体" w:cs="宋体"/>
          <w:b/>
          <w:bCs/>
          <w:sz w:val="28"/>
          <w:szCs w:val="28"/>
        </w:rPr>
        <w:t>三、服务需求</w:t>
      </w:r>
    </w:p>
    <w:bookmarkEnd w:id="0"/>
    <w:p w14:paraId="54F2DDA4">
      <w:pPr>
        <w:widowControl/>
        <w:spacing w:line="440" w:lineRule="exact"/>
        <w:ind w:firstLine="568" w:firstLineChars="237"/>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（一）依据《国家学生体质健康标准》、《综合防控儿童青少年近视实施方案》、 《儿童青少年近视防控光明行动工作方案（2021—2025 年）》文件，要求搭建2024年学生体测智能化测试平台，平台含数据采集、进度监测、数据上报、数据统计分析、预警与反馈、智能评估、成绩公布与查询、健康指导等功能。</w:t>
      </w:r>
    </w:p>
    <w:p w14:paraId="042DB898">
      <w:pPr>
        <w:widowControl/>
        <w:spacing w:line="440" w:lineRule="exact"/>
        <w:ind w:firstLine="568" w:firstLineChars="237"/>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二）根据采购人要求安排体测时间、采用送测到校的方式。体测时间要求在合同签订根据双方约定时间完成所有测试工作（特殊天气除外）。测试完成后须在7个工作日内完成数据上报，2024年12月25日前完成数据分析，后期根据采购人需求完成相应的数据整理。</w:t>
      </w:r>
    </w:p>
    <w:p w14:paraId="690F54CA">
      <w:pPr>
        <w:widowControl/>
        <w:spacing w:line="440" w:lineRule="exact"/>
        <w:ind w:firstLine="568" w:firstLineChars="237"/>
        <w:jc w:val="left"/>
        <w:rPr>
          <w:rFonts w:hint="eastAsia" w:cs="宋体" w:asciiTheme="minorEastAsia" w:hAnsiTheme="minorEastAsia"/>
          <w:kern w:val="0"/>
          <w:sz w:val="24"/>
          <w:szCs w:val="24"/>
        </w:rPr>
      </w:pPr>
      <w:bookmarkStart w:id="1" w:name="OLE_LINK4"/>
      <w:r>
        <w:rPr>
          <w:rFonts w:hint="eastAsia" w:cs="宋体" w:asciiTheme="minorEastAsia" w:hAnsiTheme="minorEastAsia"/>
          <w:kern w:val="0"/>
          <w:sz w:val="24"/>
          <w:szCs w:val="24"/>
        </w:rPr>
        <w:t>（三）本次服务须具备向国家学生体质健康网上报的能力，同时可供学校、教师实时查看测试数据及测试进度，学校可实时查看管理信息数据以及学生《国家学生体质健康标准》测试成绩和评价。</w:t>
      </w:r>
    </w:p>
    <w:p w14:paraId="0C34C4B8">
      <w:pPr>
        <w:widowControl/>
        <w:spacing w:line="440" w:lineRule="exact"/>
        <w:ind w:firstLine="568" w:firstLineChars="237"/>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（四）</w:t>
      </w:r>
      <w:bookmarkStart w:id="2" w:name="OLE_LINK5"/>
      <w:r>
        <w:rPr>
          <w:rFonts w:hint="eastAsia" w:cs="宋体" w:asciiTheme="minorEastAsia" w:hAnsiTheme="minorEastAsia"/>
          <w:kern w:val="0"/>
          <w:sz w:val="24"/>
          <w:szCs w:val="24"/>
        </w:rPr>
        <w:t>采用智能化仪器测试，</w:t>
      </w:r>
      <w:bookmarkEnd w:id="2"/>
      <w:r>
        <w:rPr>
          <w:rFonts w:hint="eastAsia" w:cs="宋体" w:asciiTheme="minorEastAsia" w:hAnsiTheme="minorEastAsia"/>
          <w:kern w:val="0"/>
          <w:sz w:val="24"/>
          <w:szCs w:val="24"/>
        </w:rPr>
        <w:t>测试方案应具备测试点现场测试环境下能够实现测试数据采集并实时上传的特点，测试数据上传要保证单个学生单项测试成绩实时上传</w:t>
      </w:r>
      <w:bookmarkStart w:id="3" w:name="OLE_LINK6"/>
      <w:r>
        <w:rPr>
          <w:rFonts w:hint="eastAsia" w:cs="宋体" w:asciiTheme="minorEastAsia" w:hAnsiTheme="minorEastAsia"/>
          <w:kern w:val="0"/>
          <w:sz w:val="24"/>
          <w:szCs w:val="24"/>
        </w:rPr>
        <w:t>。</w:t>
      </w:r>
    </w:p>
    <w:bookmarkEnd w:id="3"/>
    <w:p w14:paraId="5F6B7992">
      <w:pPr>
        <w:widowControl/>
        <w:spacing w:line="440" w:lineRule="exact"/>
        <w:ind w:firstLine="568" w:firstLineChars="237"/>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（五）测试完成时自动生成学术型纸质学生《国家学生体质健康标准》监测报告，半个工作日内将测试数据以EXCEL格式交学校存档，48小时内制作完成总结汇报型报告，并提供电子版留档。</w:t>
      </w:r>
    </w:p>
    <w:bookmarkEnd w:id="1"/>
    <w:p w14:paraId="3923AEC1">
      <w:pPr>
        <w:widowControl/>
        <w:spacing w:line="440" w:lineRule="exact"/>
        <w:ind w:firstLine="568" w:firstLineChars="237"/>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六）建立学生体质健康档案数据信息管理，支持学生体质健康档案永久保存，随学生的升学转学流转档案，严格遵守相关保密规定，不得向第三方泄露学生体质健康和个人信息，除按照学校要求进行相应数据分析和汇总外， 不得对数据信息进行其他处理，不得用于商业用途。</w:t>
      </w:r>
    </w:p>
    <w:p w14:paraId="28F3FE5A">
      <w:pPr>
        <w:widowControl/>
        <w:spacing w:line="440" w:lineRule="exact"/>
        <w:ind w:firstLine="568" w:firstLineChars="237"/>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（七）提供的所有体质测试器材必须符合中小学学生体质健康测试器材国家标准，视力测试设备符合相关的医疗标准。</w:t>
      </w:r>
    </w:p>
    <w:p w14:paraId="33718D2D">
      <w:pPr>
        <w:widowControl/>
        <w:spacing w:line="440" w:lineRule="exact"/>
        <w:ind w:firstLine="568" w:firstLineChars="237"/>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八）只购买技术服务（含架设智慧体测管理平台、组织测试、数据处理和上报国家学生体质网数据上报平台、数据分析、信息反馈），不购买测试仪器。所有测试仪器、测试人员均由成交供应商提供；采购人负责提供学生信息、学校测试场地等，并协调配合体测工作开展。</w:t>
      </w:r>
    </w:p>
    <w:p w14:paraId="2641BFF4">
      <w:pPr>
        <w:widowControl/>
        <w:spacing w:line="440" w:lineRule="exact"/>
        <w:ind w:firstLine="568" w:firstLineChars="237"/>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（九）测试前要检查场地器材是否符合安全要求，测试前要讲清测试细则和安全事项，测试过程中确保仪器使用安全，测试仪器需自带充电电源，以免发生意外事故。</w:t>
      </w:r>
    </w:p>
    <w:p w14:paraId="436DCDDB">
      <w:pPr>
        <w:widowControl/>
        <w:spacing w:line="440" w:lineRule="exact"/>
        <w:ind w:firstLine="568" w:firstLineChars="237"/>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（十）按国家、省、市上级部门要求，在规定时间内完成体测和协助学校</w:t>
      </w:r>
      <w:r>
        <w:rPr>
          <w:rFonts w:hint="eastAsia" w:cs="宋体" w:asciiTheme="minorEastAsia" w:hAnsiTheme="minorEastAsia"/>
          <w:kern w:val="0"/>
          <w:sz w:val="24"/>
          <w:szCs w:val="24"/>
          <w:lang w:val="en-US" w:eastAsia="zh-CN"/>
        </w:rPr>
        <w:t>完成</w:t>
      </w:r>
      <w:r>
        <w:rPr>
          <w:rFonts w:hint="eastAsia" w:cs="宋体" w:asciiTheme="minorEastAsia" w:hAnsiTheme="minorEastAsia"/>
          <w:kern w:val="0"/>
          <w:sz w:val="24"/>
          <w:szCs w:val="24"/>
        </w:rPr>
        <w:t>上下半年各一次的视力数据等相关信息上报工作。</w:t>
      </w:r>
    </w:p>
    <w:p w14:paraId="667F18B5">
      <w:pPr>
        <w:widowControl/>
        <w:spacing w:line="440" w:lineRule="exact"/>
        <w:ind w:firstLine="568" w:firstLineChars="237"/>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（十一）依据学生体质健康网发布的“《国家学生体质健康标准（2014 年修订）》 规范测试方法视频”中的有关规定和要求进行现场测试。</w:t>
      </w:r>
    </w:p>
    <w:p w14:paraId="34E3C2E7">
      <w:pPr>
        <w:widowControl/>
        <w:spacing w:line="440" w:lineRule="exact"/>
        <w:ind w:firstLine="568" w:firstLineChars="237"/>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（十二）测试结束后在采购人规定的时间内出具校级多维度的体测数据分析报告。</w:t>
      </w:r>
    </w:p>
    <w:p w14:paraId="20B8E805">
      <w:pPr>
        <w:widowControl/>
        <w:spacing w:line="440" w:lineRule="exact"/>
        <w:ind w:firstLine="568" w:firstLineChars="237"/>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（十三）在测试前要详细了解学生的身体健康状况，患病或身体状况不好的学生，要提出暂缓参加测试，符合免测规定的学生可以不参加测试。</w:t>
      </w:r>
    </w:p>
    <w:p w14:paraId="70A9C1F5">
      <w:pPr>
        <w:widowControl/>
        <w:spacing w:line="440" w:lineRule="exact"/>
        <w:ind w:firstLine="568" w:firstLineChars="237"/>
        <w:jc w:val="left"/>
        <w:rPr>
          <w:rFonts w:hint="eastAsia" w:cs="宋体" w:asciiTheme="minorEastAsia" w:hAnsiTheme="minorEastAsia"/>
          <w:kern w:val="0"/>
          <w:sz w:val="24"/>
          <w:szCs w:val="24"/>
        </w:rPr>
      </w:pPr>
      <w:bookmarkStart w:id="4" w:name="OLE_LINK9"/>
      <w:r>
        <w:rPr>
          <w:rFonts w:hint="eastAsia" w:cs="宋体" w:asciiTheme="minorEastAsia" w:hAnsiTheme="minorEastAsia"/>
          <w:kern w:val="0"/>
          <w:sz w:val="24"/>
          <w:szCs w:val="24"/>
        </w:rPr>
        <w:t>（十四）</w:t>
      </w:r>
      <w:bookmarkEnd w:id="4"/>
      <w:r>
        <w:rPr>
          <w:rFonts w:hint="eastAsia" w:cs="宋体" w:asciiTheme="minorEastAsia" w:hAnsiTheme="minorEastAsia"/>
          <w:kern w:val="0"/>
          <w:sz w:val="24"/>
          <w:szCs w:val="24"/>
        </w:rPr>
        <w:t>测试项目（项目期内如采购人对测试项目有调整，可另行协商并在合同中约定。项目期内如遇国家调整上报项目，根据国家规定项目安排测试。）</w:t>
      </w:r>
    </w:p>
    <w:p w14:paraId="3B82D269">
      <w:pPr>
        <w:widowControl/>
        <w:spacing w:line="440" w:lineRule="exact"/>
        <w:ind w:firstLine="568" w:firstLineChars="237"/>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（十五）体测平台配置要求</w:t>
      </w:r>
    </w:p>
    <w:p w14:paraId="2C2C3DFC">
      <w:pPr>
        <w:widowControl/>
        <w:spacing w:line="440" w:lineRule="exact"/>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搭建2024年学生体测智能化测试平台，平台含数据采集、进度监测、数据上报、数据统计分析、预警与反馈、智能评估、成绩公布与查询、健康指导等功能。</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6816"/>
      </w:tblGrid>
      <w:tr w14:paraId="0202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tcPr>
          <w:p w14:paraId="3852ADA9">
            <w:pPr>
              <w:pStyle w:val="26"/>
              <w:spacing w:before="41" w:line="360" w:lineRule="auto"/>
              <w:ind w:left="116"/>
              <w:rPr>
                <w:rFonts w:hint="eastAsia" w:eastAsia="宋体"/>
                <w:lang w:eastAsia="zh-CN"/>
              </w:rPr>
            </w:pPr>
            <w:r>
              <w:rPr>
                <w:rFonts w:hint="eastAsia"/>
                <w:b/>
                <w:bCs/>
                <w:spacing w:val="-7"/>
                <w:lang w:val="en-US" w:eastAsia="zh-CN"/>
              </w:rPr>
              <w:t>名称</w:t>
            </w:r>
          </w:p>
        </w:tc>
        <w:tc>
          <w:tcPr>
            <w:tcW w:w="6816" w:type="dxa"/>
          </w:tcPr>
          <w:p w14:paraId="7761E7AF">
            <w:pPr>
              <w:pStyle w:val="26"/>
              <w:spacing w:before="40" w:line="360" w:lineRule="auto"/>
              <w:ind w:left="2479"/>
              <w:rPr>
                <w:rFonts w:hint="eastAsia"/>
                <w:lang w:eastAsia="zh-CN"/>
              </w:rPr>
            </w:pPr>
            <w:r>
              <w:rPr>
                <w:rFonts w:hint="eastAsia"/>
                <w:b/>
                <w:bCs/>
                <w:spacing w:val="-4"/>
                <w:lang w:eastAsia="zh-CN"/>
              </w:rPr>
              <w:t>功能</w:t>
            </w:r>
            <w:r>
              <w:rPr>
                <w:rFonts w:hint="eastAsia"/>
                <w:b/>
                <w:bCs/>
                <w:spacing w:val="-4"/>
              </w:rPr>
              <w:t>要求</w:t>
            </w:r>
          </w:p>
        </w:tc>
      </w:tr>
      <w:tr w14:paraId="7989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44" w:type="dxa"/>
            <w:vMerge w:val="restart"/>
          </w:tcPr>
          <w:p w14:paraId="17FC0F5C">
            <w:pPr>
              <w:pStyle w:val="26"/>
              <w:spacing w:before="41" w:line="360" w:lineRule="auto"/>
              <w:ind w:left="116"/>
              <w:rPr>
                <w:rFonts w:hint="eastAsia"/>
                <w:b/>
                <w:bCs/>
                <w:spacing w:val="-7"/>
                <w:lang w:eastAsia="zh-CN"/>
              </w:rPr>
            </w:pPr>
          </w:p>
          <w:p w14:paraId="56B78F32">
            <w:pPr>
              <w:pStyle w:val="26"/>
              <w:spacing w:before="41" w:line="360" w:lineRule="auto"/>
              <w:ind w:left="116"/>
              <w:rPr>
                <w:rFonts w:hint="eastAsia"/>
                <w:b/>
                <w:bCs/>
                <w:spacing w:val="-7"/>
                <w:lang w:eastAsia="zh-CN"/>
              </w:rPr>
            </w:pPr>
          </w:p>
          <w:p w14:paraId="23B54D0B">
            <w:pPr>
              <w:pStyle w:val="26"/>
              <w:spacing w:before="41" w:line="360" w:lineRule="auto"/>
              <w:ind w:left="116"/>
              <w:rPr>
                <w:rFonts w:hint="default"/>
                <w:b/>
                <w:bCs/>
                <w:spacing w:val="-7"/>
                <w:lang w:val="en-US" w:eastAsia="zh-CN"/>
              </w:rPr>
            </w:pPr>
            <w:r>
              <w:rPr>
                <w:rFonts w:hint="eastAsia"/>
                <w:b/>
                <w:bCs/>
                <w:spacing w:val="-7"/>
                <w:lang w:val="en-US" w:eastAsia="zh-CN"/>
              </w:rPr>
              <w:t>体测平台</w:t>
            </w:r>
          </w:p>
        </w:tc>
        <w:tc>
          <w:tcPr>
            <w:tcW w:w="6816" w:type="dxa"/>
          </w:tcPr>
          <w:p w14:paraId="16550FBB">
            <w:pPr>
              <w:pStyle w:val="26"/>
              <w:spacing w:before="40" w:line="360" w:lineRule="auto"/>
              <w:ind w:firstLine="240" w:firstLineChars="100"/>
              <w:rPr>
                <w:rFonts w:hint="eastAsia"/>
                <w:b/>
                <w:bCs/>
                <w:spacing w:val="-4"/>
                <w:lang w:eastAsia="zh-CN"/>
              </w:rPr>
            </w:pPr>
            <w:bookmarkStart w:id="5" w:name="OLE_LINK27"/>
            <w:r>
              <w:rPr>
                <w:rFonts w:hint="eastAsia"/>
                <w:lang w:eastAsia="zh-CN" w:bidi="ar"/>
              </w:rPr>
              <w:t>1、实现通过列表、日历两种方式对现场集中测试进日排期、撤销、删除等维护；支持记录和 检索任务的状态跟踪信息。</w:t>
            </w:r>
            <w:bookmarkEnd w:id="5"/>
          </w:p>
          <w:p w14:paraId="5849309B">
            <w:pPr>
              <w:pStyle w:val="26"/>
              <w:spacing w:before="40" w:line="360" w:lineRule="auto"/>
              <w:ind w:firstLine="240" w:firstLineChars="100"/>
              <w:rPr>
                <w:rFonts w:hint="eastAsia"/>
                <w:lang w:eastAsia="zh-CN" w:bidi="ar"/>
              </w:rPr>
            </w:pPr>
            <w:r>
              <w:rPr>
                <w:rFonts w:hint="eastAsia"/>
                <w:lang w:eastAsia="zh-CN" w:bidi="ar"/>
              </w:rPr>
              <w:t>2、采集名单维护：支持学生免测、请假等政策管理维护；</w:t>
            </w:r>
          </w:p>
          <w:p w14:paraId="0ADA8294">
            <w:pPr>
              <w:pStyle w:val="26"/>
              <w:spacing w:before="40" w:line="360" w:lineRule="auto"/>
              <w:rPr>
                <w:rFonts w:hint="eastAsia"/>
                <w:lang w:eastAsia="zh-CN" w:bidi="ar"/>
              </w:rPr>
            </w:pPr>
            <w:bookmarkStart w:id="6" w:name="OLE_LINK30"/>
            <w:r>
              <w:rPr>
                <w:rFonts w:hint="eastAsia"/>
                <w:lang w:eastAsia="zh-CN" w:bidi="ar"/>
              </w:rPr>
              <w:t>▲</w:t>
            </w:r>
            <w:bookmarkEnd w:id="6"/>
            <w:r>
              <w:rPr>
                <w:rFonts w:hint="eastAsia"/>
                <w:lang w:eastAsia="zh-CN" w:bidi="ar"/>
              </w:rPr>
              <w:t>3、实现多区域，多现场的采集任务执行进度的监控视图，并可以通过该视图进入到指定现场界面，指定现场界面可按年级、班级监控应测、已测未测等详细情况</w:t>
            </w:r>
            <w:bookmarkStart w:id="7" w:name="OLE_LINK58"/>
            <w:r>
              <w:rPr>
                <w:rFonts w:hint="eastAsia"/>
                <w:lang w:eastAsia="zh-CN" w:bidi="ar"/>
              </w:rPr>
              <w:t>；</w:t>
            </w:r>
          </w:p>
          <w:bookmarkEnd w:id="7"/>
          <w:p w14:paraId="7BD01A30">
            <w:pPr>
              <w:pStyle w:val="26"/>
              <w:spacing w:before="40" w:line="360" w:lineRule="auto"/>
              <w:ind w:firstLine="240" w:firstLineChars="100"/>
              <w:rPr>
                <w:rFonts w:hint="eastAsia"/>
                <w:lang w:eastAsia="zh-CN" w:bidi="ar"/>
              </w:rPr>
            </w:pPr>
            <w:r>
              <w:rPr>
                <w:rFonts w:hint="eastAsia"/>
                <w:lang w:eastAsia="zh-CN" w:bidi="ar"/>
              </w:rPr>
              <w:t>4、提供现场实时数据上传日志查询。</w:t>
            </w:r>
          </w:p>
        </w:tc>
      </w:tr>
      <w:tr w14:paraId="30A7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Merge w:val="continue"/>
          </w:tcPr>
          <w:p w14:paraId="31BEEC16">
            <w:pPr>
              <w:pStyle w:val="26"/>
              <w:spacing w:before="41" w:line="360" w:lineRule="auto"/>
              <w:ind w:left="116"/>
              <w:rPr>
                <w:rFonts w:hint="eastAsia"/>
                <w:b/>
                <w:bCs/>
                <w:spacing w:val="-7"/>
                <w:lang w:eastAsia="zh-CN"/>
              </w:rPr>
            </w:pPr>
          </w:p>
        </w:tc>
        <w:tc>
          <w:tcPr>
            <w:tcW w:w="6816" w:type="dxa"/>
          </w:tcPr>
          <w:p w14:paraId="6A279704">
            <w:pPr>
              <w:pStyle w:val="26"/>
              <w:spacing w:before="40" w:line="360" w:lineRule="auto"/>
              <w:rPr>
                <w:rFonts w:hint="eastAsia"/>
                <w:b/>
                <w:bCs/>
                <w:spacing w:val="-4"/>
                <w:lang w:eastAsia="zh-CN"/>
              </w:rPr>
            </w:pPr>
            <w:bookmarkStart w:id="8" w:name="OLE_LINK40"/>
            <w:r>
              <w:rPr>
                <w:rFonts w:hint="eastAsia"/>
                <w:b/>
                <w:bCs/>
                <w:spacing w:val="-4"/>
                <w:lang w:eastAsia="zh-CN"/>
              </w:rPr>
              <w:t>▲</w:t>
            </w:r>
            <w:r>
              <w:rPr>
                <w:rFonts w:hint="eastAsia"/>
                <w:b/>
                <w:bCs/>
                <w:spacing w:val="-4"/>
                <w:lang w:val="en-US" w:eastAsia="zh-CN"/>
              </w:rPr>
              <w:t>5</w:t>
            </w:r>
            <w:r>
              <w:rPr>
                <w:rFonts w:hint="eastAsia"/>
                <w:b/>
                <w:bCs/>
                <w:spacing w:val="-4"/>
                <w:lang w:eastAsia="zh-CN"/>
              </w:rPr>
              <w:t>、</w:t>
            </w:r>
            <w:r>
              <w:rPr>
                <w:rFonts w:hint="eastAsia"/>
                <w:spacing w:val="-4"/>
                <w:lang w:eastAsia="zh-CN"/>
              </w:rPr>
              <w:t>采集的项目成绩按国家学生体质测试标准进行分数自动计算，并生成相关成绩和评级；支持查看学校体测成绩优良率、及格率，自动完成项目数据的自适性处理，并筛选出异常数据；</w:t>
            </w:r>
          </w:p>
          <w:bookmarkEnd w:id="8"/>
          <w:p w14:paraId="0BD9769B">
            <w:pPr>
              <w:pStyle w:val="26"/>
              <w:spacing w:before="40" w:line="360" w:lineRule="auto"/>
              <w:ind w:firstLine="233" w:firstLineChars="100"/>
              <w:rPr>
                <w:rFonts w:hint="eastAsia"/>
                <w:b/>
                <w:bCs/>
                <w:spacing w:val="-4"/>
                <w:lang w:eastAsia="zh-CN"/>
              </w:rPr>
            </w:pPr>
            <w:bookmarkStart w:id="9" w:name="OLE_LINK39"/>
            <w:r>
              <w:rPr>
                <w:rFonts w:hint="eastAsia"/>
                <w:b/>
                <w:bCs/>
                <w:spacing w:val="-4"/>
                <w:lang w:val="en-US" w:eastAsia="zh-CN"/>
              </w:rPr>
              <w:t>6</w:t>
            </w:r>
            <w:r>
              <w:rPr>
                <w:rFonts w:hint="eastAsia"/>
                <w:b/>
                <w:bCs/>
                <w:spacing w:val="-4"/>
                <w:lang w:eastAsia="zh-CN"/>
              </w:rPr>
              <w:t>、</w:t>
            </w:r>
            <w:r>
              <w:rPr>
                <w:rFonts w:hint="eastAsia"/>
                <w:spacing w:val="-4"/>
                <w:lang w:eastAsia="zh-CN"/>
              </w:rPr>
              <w:t>数据采集完成后可对学生成绩导出上报成绩、评级数据、成绩异常学生以及独立的视力数据；</w:t>
            </w:r>
            <w:bookmarkEnd w:id="9"/>
          </w:p>
        </w:tc>
      </w:tr>
      <w:tr w14:paraId="3C12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Merge w:val="continue"/>
          </w:tcPr>
          <w:p w14:paraId="332FEDF0">
            <w:pPr>
              <w:pStyle w:val="26"/>
              <w:spacing w:before="41" w:line="360" w:lineRule="auto"/>
              <w:ind w:left="116"/>
              <w:rPr>
                <w:rFonts w:hint="eastAsia"/>
                <w:b/>
                <w:bCs/>
                <w:spacing w:val="-7"/>
                <w:lang w:eastAsia="zh-CN"/>
              </w:rPr>
            </w:pPr>
          </w:p>
        </w:tc>
        <w:tc>
          <w:tcPr>
            <w:tcW w:w="6816" w:type="dxa"/>
          </w:tcPr>
          <w:p w14:paraId="20220373">
            <w:pPr>
              <w:pStyle w:val="26"/>
              <w:spacing w:before="40" w:line="360" w:lineRule="auto"/>
              <w:rPr>
                <w:rFonts w:hint="eastAsia"/>
                <w:spacing w:val="-4"/>
                <w:lang w:eastAsia="zh-CN"/>
              </w:rPr>
            </w:pPr>
            <w:bookmarkStart w:id="10" w:name="OLE_LINK43"/>
            <w:r>
              <w:rPr>
                <w:rFonts w:hint="eastAsia"/>
                <w:b/>
                <w:bCs/>
                <w:spacing w:val="-4"/>
                <w:lang w:eastAsia="zh-CN"/>
              </w:rPr>
              <w:t>▲</w:t>
            </w:r>
            <w:bookmarkEnd w:id="10"/>
            <w:r>
              <w:rPr>
                <w:rFonts w:hint="eastAsia"/>
                <w:b/>
                <w:bCs/>
                <w:spacing w:val="-4"/>
                <w:lang w:val="en-US" w:eastAsia="zh-CN"/>
              </w:rPr>
              <w:t>7</w:t>
            </w:r>
            <w:r>
              <w:rPr>
                <w:rFonts w:hint="eastAsia"/>
                <w:b/>
                <w:bCs/>
                <w:spacing w:val="-4"/>
                <w:lang w:eastAsia="zh-CN"/>
              </w:rPr>
              <w:t>、</w:t>
            </w:r>
            <w:r>
              <w:rPr>
                <w:rFonts w:hint="eastAsia"/>
                <w:spacing w:val="-4"/>
                <w:lang w:eastAsia="zh-CN"/>
              </w:rPr>
              <w:t>支持通过地图、图像等形式按市、区多级进行体测等级数据分析，包括历年数据检索；</w:t>
            </w:r>
          </w:p>
          <w:p w14:paraId="53EB201A">
            <w:pPr>
              <w:pStyle w:val="26"/>
              <w:spacing w:before="40" w:line="360" w:lineRule="auto"/>
              <w:rPr>
                <w:rFonts w:hint="eastAsia"/>
                <w:spacing w:val="-4"/>
                <w:lang w:eastAsia="zh-CN"/>
              </w:rPr>
            </w:pPr>
            <w:r>
              <w:rPr>
                <w:rFonts w:hint="eastAsia"/>
                <w:spacing w:val="-4"/>
                <w:lang w:eastAsia="zh-CN"/>
              </w:rPr>
              <w:t>▲</w:t>
            </w:r>
            <w:r>
              <w:rPr>
                <w:rFonts w:hint="eastAsia"/>
                <w:spacing w:val="-4"/>
                <w:lang w:val="en-US" w:eastAsia="zh-CN"/>
              </w:rPr>
              <w:t>8</w:t>
            </w:r>
            <w:r>
              <w:rPr>
                <w:rFonts w:hint="eastAsia"/>
                <w:spacing w:val="-4"/>
                <w:lang w:eastAsia="zh-CN"/>
              </w:rPr>
              <w:t>、可按市、区、校多级进行对比分析，支持跨级对比，实时掌握当前级别处于整体水平的位置和与平级单位的差距；</w:t>
            </w:r>
          </w:p>
          <w:p w14:paraId="7E3B70AA">
            <w:pPr>
              <w:pStyle w:val="26"/>
              <w:spacing w:before="40" w:line="360" w:lineRule="auto"/>
              <w:rPr>
                <w:rFonts w:hint="eastAsia"/>
                <w:spacing w:val="-4"/>
                <w:lang w:eastAsia="zh-CN"/>
              </w:rPr>
            </w:pPr>
            <w:r>
              <w:rPr>
                <w:rFonts w:hint="eastAsia"/>
                <w:spacing w:val="-4"/>
                <w:lang w:eastAsia="zh-CN"/>
              </w:rPr>
              <w:t>▲</w:t>
            </w:r>
            <w:r>
              <w:rPr>
                <w:rFonts w:hint="eastAsia"/>
                <w:spacing w:val="-4"/>
                <w:lang w:val="en-US" w:eastAsia="zh-CN"/>
              </w:rPr>
              <w:t>9</w:t>
            </w:r>
            <w:r>
              <w:rPr>
                <w:rFonts w:hint="eastAsia"/>
                <w:spacing w:val="-4"/>
                <w:lang w:eastAsia="zh-CN"/>
              </w:rPr>
              <w:t>、按市、区、校三级对优秀率进行排名， 并展示历年排名趋势；</w:t>
            </w:r>
          </w:p>
          <w:p w14:paraId="495E2730">
            <w:pPr>
              <w:pStyle w:val="26"/>
              <w:spacing w:before="40" w:line="360" w:lineRule="auto"/>
              <w:rPr>
                <w:rFonts w:hint="eastAsia"/>
                <w:spacing w:val="-4"/>
                <w:lang w:eastAsia="zh-CN"/>
              </w:rPr>
            </w:pPr>
            <w:r>
              <w:rPr>
                <w:rFonts w:hint="eastAsia"/>
                <w:spacing w:val="-4"/>
                <w:lang w:eastAsia="zh-CN"/>
              </w:rPr>
              <w:t>▲</w:t>
            </w:r>
            <w:r>
              <w:rPr>
                <w:rFonts w:hint="eastAsia"/>
                <w:spacing w:val="-4"/>
                <w:lang w:val="en-US" w:eastAsia="zh-CN"/>
              </w:rPr>
              <w:t>10</w:t>
            </w:r>
            <w:r>
              <w:rPr>
                <w:rFonts w:hint="eastAsia"/>
                <w:spacing w:val="-4"/>
                <w:lang w:eastAsia="zh-CN"/>
              </w:rPr>
              <w:t>、按市、区、校三级对合格率(达标率) 进行排名，并展示历年排名趋势。</w:t>
            </w:r>
          </w:p>
        </w:tc>
      </w:tr>
      <w:tr w14:paraId="421D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Merge w:val="continue"/>
          </w:tcPr>
          <w:p w14:paraId="2ACEEF44">
            <w:pPr>
              <w:pStyle w:val="26"/>
              <w:spacing w:before="41" w:line="360" w:lineRule="auto"/>
              <w:ind w:left="116"/>
              <w:rPr>
                <w:rFonts w:hint="eastAsia"/>
                <w:b/>
                <w:bCs/>
                <w:spacing w:val="-7"/>
                <w:lang w:eastAsia="zh-CN"/>
              </w:rPr>
            </w:pPr>
          </w:p>
        </w:tc>
        <w:tc>
          <w:tcPr>
            <w:tcW w:w="6816" w:type="dxa"/>
          </w:tcPr>
          <w:p w14:paraId="5FC35141">
            <w:pPr>
              <w:pStyle w:val="26"/>
              <w:spacing w:before="40" w:line="360" w:lineRule="auto"/>
              <w:rPr>
                <w:rFonts w:hint="eastAsia"/>
                <w:spacing w:val="-4"/>
                <w:lang w:eastAsia="zh-CN"/>
              </w:rPr>
            </w:pPr>
            <w:r>
              <w:rPr>
                <w:rFonts w:hint="eastAsia"/>
                <w:spacing w:val="-4"/>
                <w:lang w:eastAsia="zh-CN"/>
              </w:rPr>
              <w:t>▲</w:t>
            </w:r>
            <w:r>
              <w:rPr>
                <w:rFonts w:hint="eastAsia"/>
                <w:spacing w:val="-4"/>
                <w:lang w:val="en-US" w:eastAsia="zh-CN"/>
              </w:rPr>
              <w:t>1</w:t>
            </w:r>
            <w:r>
              <w:rPr>
                <w:rFonts w:hint="eastAsia"/>
                <w:spacing w:val="-4"/>
                <w:lang w:eastAsia="zh-CN"/>
              </w:rPr>
              <w:t>1、名单检索：移动App端支持通过学号、姓名和班级对参测学生名单进行检索，并可以按班级进行整体查看；</w:t>
            </w:r>
          </w:p>
          <w:p w14:paraId="631103A0">
            <w:pPr>
              <w:pStyle w:val="26"/>
              <w:spacing w:before="40" w:line="360" w:lineRule="auto"/>
              <w:rPr>
                <w:rFonts w:hint="eastAsia"/>
                <w:spacing w:val="-4"/>
                <w:lang w:eastAsia="zh-CN"/>
              </w:rPr>
            </w:pPr>
            <w:r>
              <w:rPr>
                <w:rFonts w:hint="eastAsia"/>
                <w:spacing w:val="-4"/>
                <w:lang w:eastAsia="zh-CN"/>
              </w:rPr>
              <w:t>▲</w:t>
            </w:r>
            <w:r>
              <w:rPr>
                <w:rFonts w:hint="eastAsia"/>
                <w:spacing w:val="-4"/>
                <w:lang w:val="en-US" w:eastAsia="zh-CN"/>
              </w:rPr>
              <w:t>1</w:t>
            </w:r>
            <w:r>
              <w:rPr>
                <w:rFonts w:hint="eastAsia"/>
                <w:spacing w:val="-4"/>
                <w:lang w:eastAsia="zh-CN"/>
              </w:rPr>
              <w:t>2、状态管理：移动App端支持学生请假、免测等信息管理维护；</w:t>
            </w:r>
          </w:p>
          <w:p w14:paraId="1EC5093D">
            <w:pPr>
              <w:pStyle w:val="26"/>
              <w:spacing w:before="40" w:line="360" w:lineRule="auto"/>
              <w:rPr>
                <w:rFonts w:hint="eastAsia"/>
                <w:spacing w:val="-4"/>
                <w:lang w:eastAsia="zh-CN"/>
              </w:rPr>
            </w:pPr>
            <w:r>
              <w:rPr>
                <w:rFonts w:hint="eastAsia"/>
                <w:spacing w:val="-4"/>
                <w:lang w:eastAsia="zh-CN"/>
              </w:rPr>
              <w:t>▲</w:t>
            </w:r>
            <w:r>
              <w:rPr>
                <w:rFonts w:hint="eastAsia"/>
                <w:spacing w:val="-4"/>
                <w:lang w:val="en-US" w:eastAsia="zh-CN"/>
              </w:rPr>
              <w:t>1</w:t>
            </w:r>
            <w:r>
              <w:rPr>
                <w:rFonts w:hint="eastAsia"/>
                <w:spacing w:val="-4"/>
                <w:lang w:eastAsia="zh-CN"/>
              </w:rPr>
              <w:t>3、新增学生：移动App端支持临时现场加入的学生信息添加，并加入到当前测试序列中，并将信息同步到各项目测试点；</w:t>
            </w:r>
          </w:p>
          <w:p w14:paraId="08002329">
            <w:pPr>
              <w:pStyle w:val="26"/>
              <w:spacing w:before="40" w:line="360" w:lineRule="auto"/>
              <w:ind w:firstLine="232" w:firstLineChars="100"/>
              <w:rPr>
                <w:rFonts w:hint="eastAsia"/>
                <w:spacing w:val="-4"/>
                <w:lang w:eastAsia="zh-CN"/>
              </w:rPr>
            </w:pPr>
            <w:r>
              <w:rPr>
                <w:rFonts w:hint="eastAsia"/>
                <w:spacing w:val="-4"/>
                <w:lang w:val="en-US" w:eastAsia="zh-CN"/>
              </w:rPr>
              <w:t>1</w:t>
            </w:r>
            <w:r>
              <w:rPr>
                <w:rFonts w:hint="eastAsia"/>
                <w:spacing w:val="-4"/>
                <w:lang w:eastAsia="zh-CN"/>
              </w:rPr>
              <w:t>4、班级调整：移动App端支持学生班级信息调整；</w:t>
            </w:r>
          </w:p>
          <w:p w14:paraId="08517FA4">
            <w:pPr>
              <w:pStyle w:val="26"/>
              <w:spacing w:before="40" w:line="360" w:lineRule="auto"/>
              <w:rPr>
                <w:rFonts w:hint="eastAsia"/>
                <w:spacing w:val="-4"/>
                <w:lang w:eastAsia="zh-CN"/>
              </w:rPr>
            </w:pPr>
            <w:r>
              <w:rPr>
                <w:rFonts w:hint="eastAsia"/>
                <w:spacing w:val="-4"/>
                <w:lang w:eastAsia="zh-CN"/>
              </w:rPr>
              <w:t>▲</w:t>
            </w:r>
            <w:r>
              <w:rPr>
                <w:rFonts w:hint="eastAsia"/>
                <w:spacing w:val="-4"/>
                <w:lang w:val="en-US" w:eastAsia="zh-CN"/>
              </w:rPr>
              <w:t>1</w:t>
            </w:r>
            <w:r>
              <w:rPr>
                <w:rFonts w:hint="eastAsia"/>
                <w:spacing w:val="-4"/>
                <w:lang w:eastAsia="zh-CN"/>
              </w:rPr>
              <w:t>5、名单打印：移动App端支持参测学生条码现场打印； 单个学生的条形码打印到独立的不干胶贴载体上，可方便黏贴于目标位置用于测试身份识别，打印的学生信息实时与新增、班级调整数据同步，打印支持批量打印、补打和指定单人打印；</w:t>
            </w:r>
          </w:p>
          <w:p w14:paraId="399A5C58">
            <w:pPr>
              <w:pStyle w:val="26"/>
              <w:spacing w:before="40" w:line="360" w:lineRule="auto"/>
              <w:rPr>
                <w:rFonts w:hint="eastAsia"/>
                <w:spacing w:val="-4"/>
                <w:lang w:eastAsia="zh-CN"/>
              </w:rPr>
            </w:pPr>
            <w:r>
              <w:rPr>
                <w:rFonts w:hint="eastAsia"/>
                <w:b/>
                <w:bCs/>
                <w:spacing w:val="-4"/>
                <w:lang w:eastAsia="zh-CN"/>
              </w:rPr>
              <w:t>▲</w:t>
            </w:r>
            <w:r>
              <w:rPr>
                <w:rFonts w:hint="eastAsia"/>
                <w:b/>
                <w:bCs/>
                <w:spacing w:val="-4"/>
                <w:lang w:val="en-US" w:eastAsia="zh-CN"/>
              </w:rPr>
              <w:t>1</w:t>
            </w:r>
            <w:r>
              <w:rPr>
                <w:rFonts w:hint="eastAsia"/>
                <w:spacing w:val="-4"/>
                <w:lang w:eastAsia="zh-CN"/>
              </w:rPr>
              <w:t>6、设备授权：移动App端可授权采集设备进行人员信息获取和体测数据的实时上传，未经授权的设备不可获取参加测试学生名单序列；</w:t>
            </w:r>
          </w:p>
          <w:p w14:paraId="227A75E0">
            <w:pPr>
              <w:pStyle w:val="26"/>
              <w:spacing w:before="40" w:line="360" w:lineRule="auto"/>
              <w:rPr>
                <w:rFonts w:hint="eastAsia"/>
                <w:spacing w:val="-4"/>
                <w:lang w:eastAsia="zh-CN"/>
              </w:rPr>
            </w:pPr>
            <w:r>
              <w:rPr>
                <w:rFonts w:hint="eastAsia"/>
                <w:spacing w:val="-4"/>
                <w:lang w:eastAsia="zh-CN"/>
              </w:rPr>
              <w:t>▲1</w:t>
            </w:r>
            <w:r>
              <w:rPr>
                <w:rFonts w:hint="eastAsia"/>
                <w:spacing w:val="-4"/>
                <w:lang w:val="en-US" w:eastAsia="zh-CN"/>
              </w:rPr>
              <w:t>7</w:t>
            </w:r>
            <w:r>
              <w:rPr>
                <w:rFonts w:hint="eastAsia"/>
                <w:spacing w:val="-4"/>
                <w:lang w:eastAsia="zh-CN"/>
              </w:rPr>
              <w:t>、整体进度监控：移动App端可实时监控现场整体测试工作开展以及完成进度，数据按年级、班级维度展示进度百分比，包括已完成、未测、漏测、免测人数以及详细名单；</w:t>
            </w:r>
          </w:p>
          <w:p w14:paraId="4F08E8EB">
            <w:pPr>
              <w:pStyle w:val="26"/>
              <w:spacing w:before="40" w:line="360" w:lineRule="auto"/>
              <w:rPr>
                <w:rFonts w:hint="eastAsia"/>
                <w:spacing w:val="-4"/>
                <w:lang w:eastAsia="zh-CN"/>
              </w:rPr>
            </w:pPr>
            <w:r>
              <w:rPr>
                <w:rFonts w:hint="eastAsia"/>
                <w:spacing w:val="-4"/>
                <w:lang w:eastAsia="zh-CN"/>
              </w:rPr>
              <w:t>▲</w:t>
            </w:r>
            <w:r>
              <w:rPr>
                <w:rFonts w:hint="eastAsia"/>
                <w:spacing w:val="-4"/>
                <w:lang w:val="en-US" w:eastAsia="zh-CN"/>
              </w:rPr>
              <w:t>18</w:t>
            </w:r>
            <w:r>
              <w:rPr>
                <w:rFonts w:hint="eastAsia"/>
                <w:spacing w:val="-4"/>
                <w:lang w:eastAsia="zh-CN"/>
              </w:rPr>
              <w:t>、分项目进度监控：移动App端可实时监控现场单项目测试工作开展以及完成进度，如身高体重、肺活量、 坐位体前屈等项目，数据按年级、班级维度展示，包括已测、未测、漏测、免测人数以及详细名单；</w:t>
            </w:r>
          </w:p>
          <w:p w14:paraId="56296BDE">
            <w:pPr>
              <w:pStyle w:val="26"/>
              <w:spacing w:before="40" w:line="360" w:lineRule="auto"/>
              <w:rPr>
                <w:rFonts w:hint="eastAsia"/>
                <w:spacing w:val="-4"/>
                <w:lang w:eastAsia="zh-CN"/>
              </w:rPr>
            </w:pPr>
            <w:r>
              <w:rPr>
                <w:rFonts w:hint="eastAsia"/>
                <w:spacing w:val="-4"/>
                <w:lang w:eastAsia="zh-CN"/>
              </w:rPr>
              <w:t>▲1</w:t>
            </w:r>
            <w:r>
              <w:rPr>
                <w:rFonts w:hint="eastAsia"/>
                <w:spacing w:val="-4"/>
                <w:lang w:val="en-US" w:eastAsia="zh-CN"/>
              </w:rPr>
              <w:t>9</w:t>
            </w:r>
            <w:r>
              <w:rPr>
                <w:rFonts w:hint="eastAsia"/>
                <w:spacing w:val="-4"/>
                <w:lang w:eastAsia="zh-CN"/>
              </w:rPr>
              <w:t>、体测成绩录入：移动App端可按照班级为组织形式对单个学生的测试数据进行采集录入，录入成绩数据与集中采集数据同步，实现日常课堂采集和集中采集时的成绩补录；</w:t>
            </w:r>
          </w:p>
          <w:p w14:paraId="6462445D">
            <w:pPr>
              <w:pStyle w:val="26"/>
              <w:spacing w:before="40" w:line="360" w:lineRule="auto"/>
              <w:ind w:firstLine="232" w:firstLineChars="100"/>
              <w:rPr>
                <w:rFonts w:hint="eastAsia"/>
                <w:spacing w:val="-4"/>
                <w:lang w:eastAsia="zh-CN"/>
              </w:rPr>
            </w:pPr>
            <w:r>
              <w:rPr>
                <w:rFonts w:hint="eastAsia"/>
                <w:spacing w:val="-4"/>
                <w:lang w:eastAsia="zh-CN"/>
              </w:rPr>
              <w:t>成绩数据的成绩、评级展示；</w:t>
            </w:r>
          </w:p>
          <w:p w14:paraId="08A0C2D3">
            <w:pPr>
              <w:pStyle w:val="26"/>
              <w:spacing w:before="40" w:line="360" w:lineRule="auto"/>
              <w:rPr>
                <w:rFonts w:hint="eastAsia"/>
                <w:spacing w:val="-4"/>
                <w:lang w:eastAsia="zh-CN"/>
              </w:rPr>
            </w:pPr>
            <w:bookmarkStart w:id="11" w:name="OLE_LINK16"/>
            <w:r>
              <w:rPr>
                <w:rFonts w:hint="eastAsia"/>
                <w:spacing w:val="-4"/>
                <w:lang w:eastAsia="zh-CN"/>
              </w:rPr>
              <w:t>▲</w:t>
            </w:r>
            <w:bookmarkEnd w:id="11"/>
            <w:r>
              <w:rPr>
                <w:rFonts w:hint="eastAsia"/>
                <w:spacing w:val="-4"/>
                <w:lang w:val="en-US" w:eastAsia="zh-CN"/>
              </w:rPr>
              <w:t>20、</w:t>
            </w:r>
            <w:r>
              <w:rPr>
                <w:rFonts w:hint="eastAsia"/>
                <w:spacing w:val="-4"/>
                <w:lang w:eastAsia="zh-CN"/>
              </w:rPr>
              <w:t>移动app端支持等级统计、得分统计、成绩统计群体评估、数据对比，支持按市、区、校多级进行对比分析，支持跨级对比，实时掌握当前级别处于整体水平的位置和与平级单位的差距；支持达标预警、体质预警、健康预警分年级班级查询，预警分四级预警</w:t>
            </w:r>
          </w:p>
          <w:p w14:paraId="1A5ECE4E">
            <w:pPr>
              <w:pStyle w:val="26"/>
              <w:spacing w:before="40" w:line="360" w:lineRule="auto"/>
              <w:rPr>
                <w:rFonts w:hint="eastAsia"/>
                <w:spacing w:val="-4"/>
                <w:lang w:eastAsia="zh-CN"/>
              </w:rPr>
            </w:pPr>
          </w:p>
        </w:tc>
      </w:tr>
    </w:tbl>
    <w:p w14:paraId="76902E9C">
      <w:pPr>
        <w:widowControl/>
        <w:spacing w:line="440" w:lineRule="exact"/>
        <w:ind w:firstLine="568" w:firstLineChars="237"/>
        <w:jc w:val="left"/>
        <w:rPr>
          <w:rFonts w:hint="eastAsia" w:cs="宋体" w:asciiTheme="minorEastAsia" w:hAnsiTheme="minorEastAsia"/>
          <w:kern w:val="0"/>
          <w:sz w:val="24"/>
          <w:szCs w:val="24"/>
        </w:rPr>
      </w:pPr>
    </w:p>
    <w:p w14:paraId="14591621">
      <w:pPr>
        <w:widowControl/>
        <w:spacing w:line="440" w:lineRule="exact"/>
        <w:ind w:firstLine="568" w:firstLineChars="237"/>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（十六）体测设备配置要求</w:t>
      </w:r>
    </w:p>
    <w:p w14:paraId="38B2A26A">
      <w:pPr>
        <w:widowControl/>
        <w:spacing w:line="440" w:lineRule="exact"/>
        <w:ind w:firstLine="568" w:firstLineChars="237"/>
        <w:jc w:val="left"/>
        <w:rPr>
          <w:rFonts w:hint="eastAsia" w:cs="宋体" w:asciiTheme="minorEastAsia" w:hAnsiTheme="minorEastAsia"/>
          <w:kern w:val="0"/>
          <w:sz w:val="24"/>
          <w:szCs w:val="24"/>
        </w:rPr>
      </w:pPr>
    </w:p>
    <w:tbl>
      <w:tblPr>
        <w:tblStyle w:val="15"/>
        <w:tblW w:w="8440" w:type="dxa"/>
        <w:tblInd w:w="113" w:type="dxa"/>
        <w:tblLayout w:type="autofit"/>
        <w:tblCellMar>
          <w:top w:w="0" w:type="dxa"/>
          <w:left w:w="108" w:type="dxa"/>
          <w:bottom w:w="0" w:type="dxa"/>
          <w:right w:w="108" w:type="dxa"/>
        </w:tblCellMar>
      </w:tblPr>
      <w:tblGrid>
        <w:gridCol w:w="640"/>
        <w:gridCol w:w="2020"/>
        <w:gridCol w:w="2200"/>
        <w:gridCol w:w="3580"/>
      </w:tblGrid>
      <w:tr w14:paraId="591504B0">
        <w:tblPrEx>
          <w:tblCellMar>
            <w:top w:w="0" w:type="dxa"/>
            <w:left w:w="108" w:type="dxa"/>
            <w:bottom w:w="0" w:type="dxa"/>
            <w:right w:w="108" w:type="dxa"/>
          </w:tblCellMar>
        </w:tblPrEx>
        <w:trPr>
          <w:trHeight w:val="615"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3D01B">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2020" w:type="dxa"/>
            <w:tcBorders>
              <w:top w:val="single" w:color="auto" w:sz="4" w:space="0"/>
              <w:left w:val="nil"/>
              <w:bottom w:val="single" w:color="auto" w:sz="4" w:space="0"/>
              <w:right w:val="single" w:color="auto" w:sz="4" w:space="0"/>
            </w:tcBorders>
            <w:shd w:val="clear" w:color="auto" w:fill="auto"/>
            <w:noWrap/>
            <w:vAlign w:val="center"/>
          </w:tcPr>
          <w:p w14:paraId="12635103">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测试项目</w:t>
            </w:r>
          </w:p>
        </w:tc>
        <w:tc>
          <w:tcPr>
            <w:tcW w:w="2200" w:type="dxa"/>
            <w:tcBorders>
              <w:top w:val="single" w:color="auto" w:sz="4" w:space="0"/>
              <w:left w:val="nil"/>
              <w:bottom w:val="single" w:color="auto" w:sz="4" w:space="0"/>
              <w:right w:val="single" w:color="auto" w:sz="4" w:space="0"/>
            </w:tcBorders>
            <w:shd w:val="clear" w:color="auto" w:fill="auto"/>
            <w:noWrap/>
            <w:vAlign w:val="center"/>
          </w:tcPr>
          <w:p w14:paraId="07279238">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测试设备名称</w:t>
            </w:r>
          </w:p>
        </w:tc>
        <w:tc>
          <w:tcPr>
            <w:tcW w:w="3580" w:type="dxa"/>
            <w:tcBorders>
              <w:top w:val="single" w:color="auto" w:sz="4" w:space="0"/>
              <w:left w:val="nil"/>
              <w:bottom w:val="single" w:color="auto" w:sz="4" w:space="0"/>
              <w:right w:val="single" w:color="auto" w:sz="4" w:space="0"/>
            </w:tcBorders>
            <w:shd w:val="clear" w:color="auto" w:fill="auto"/>
            <w:noWrap/>
            <w:vAlign w:val="center"/>
          </w:tcPr>
          <w:p w14:paraId="142135AE">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测试精度要求</w:t>
            </w:r>
          </w:p>
        </w:tc>
      </w:tr>
      <w:tr w14:paraId="611EDEAF">
        <w:tblPrEx>
          <w:tblCellMar>
            <w:top w:w="0" w:type="dxa"/>
            <w:left w:w="108" w:type="dxa"/>
            <w:bottom w:w="0" w:type="dxa"/>
            <w:right w:w="108" w:type="dxa"/>
          </w:tblCellMar>
        </w:tblPrEx>
        <w:trPr>
          <w:trHeight w:val="861"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1661C1C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020" w:type="dxa"/>
            <w:tcBorders>
              <w:top w:val="nil"/>
              <w:left w:val="nil"/>
              <w:bottom w:val="single" w:color="auto" w:sz="4" w:space="0"/>
              <w:right w:val="single" w:color="auto" w:sz="4" w:space="0"/>
            </w:tcBorders>
            <w:shd w:val="clear" w:color="auto" w:fill="auto"/>
            <w:noWrap/>
            <w:vAlign w:val="center"/>
          </w:tcPr>
          <w:p w14:paraId="3F53FA6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身高体重</w:t>
            </w:r>
          </w:p>
        </w:tc>
        <w:tc>
          <w:tcPr>
            <w:tcW w:w="2200" w:type="dxa"/>
            <w:tcBorders>
              <w:top w:val="nil"/>
              <w:left w:val="nil"/>
              <w:bottom w:val="single" w:color="auto" w:sz="4" w:space="0"/>
              <w:right w:val="single" w:color="auto" w:sz="4" w:space="0"/>
            </w:tcBorders>
            <w:shd w:val="clear" w:color="auto" w:fill="auto"/>
            <w:noWrap/>
            <w:vAlign w:val="center"/>
          </w:tcPr>
          <w:p w14:paraId="13BB59E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身高体重测试仪</w:t>
            </w:r>
          </w:p>
        </w:tc>
        <w:tc>
          <w:tcPr>
            <w:tcW w:w="3580" w:type="dxa"/>
            <w:tcBorders>
              <w:top w:val="nil"/>
              <w:left w:val="nil"/>
              <w:bottom w:val="single" w:color="auto" w:sz="4" w:space="0"/>
              <w:right w:val="single" w:color="auto" w:sz="4" w:space="0"/>
            </w:tcBorders>
            <w:shd w:val="clear" w:color="auto" w:fill="auto"/>
            <w:vAlign w:val="center"/>
          </w:tcPr>
          <w:p w14:paraId="1575BEA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量程：80～250cm；3～200kg；</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分度值：0.1cm；0.1kg；</w:t>
            </w:r>
          </w:p>
        </w:tc>
      </w:tr>
      <w:tr w14:paraId="1D0C79A7">
        <w:tblPrEx>
          <w:tblCellMar>
            <w:top w:w="0" w:type="dxa"/>
            <w:left w:w="108" w:type="dxa"/>
            <w:bottom w:w="0" w:type="dxa"/>
            <w:right w:w="108" w:type="dxa"/>
          </w:tblCellMar>
        </w:tblPrEx>
        <w:trPr>
          <w:trHeight w:val="78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7851C24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020" w:type="dxa"/>
            <w:tcBorders>
              <w:top w:val="nil"/>
              <w:left w:val="nil"/>
              <w:bottom w:val="single" w:color="auto" w:sz="4" w:space="0"/>
              <w:right w:val="single" w:color="auto" w:sz="4" w:space="0"/>
            </w:tcBorders>
            <w:shd w:val="clear" w:color="auto" w:fill="auto"/>
            <w:noWrap/>
            <w:vAlign w:val="center"/>
          </w:tcPr>
          <w:p w14:paraId="739619E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肺活量</w:t>
            </w:r>
          </w:p>
        </w:tc>
        <w:tc>
          <w:tcPr>
            <w:tcW w:w="2200" w:type="dxa"/>
            <w:tcBorders>
              <w:top w:val="nil"/>
              <w:left w:val="nil"/>
              <w:bottom w:val="single" w:color="auto" w:sz="4" w:space="0"/>
              <w:right w:val="single" w:color="auto" w:sz="4" w:space="0"/>
            </w:tcBorders>
            <w:shd w:val="clear" w:color="auto" w:fill="auto"/>
            <w:noWrap/>
            <w:vAlign w:val="center"/>
          </w:tcPr>
          <w:p w14:paraId="606D323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肺活量测试仪</w:t>
            </w:r>
          </w:p>
        </w:tc>
        <w:tc>
          <w:tcPr>
            <w:tcW w:w="3580" w:type="dxa"/>
            <w:tcBorders>
              <w:top w:val="nil"/>
              <w:left w:val="nil"/>
              <w:bottom w:val="single" w:color="auto" w:sz="4" w:space="0"/>
              <w:right w:val="single" w:color="auto" w:sz="4" w:space="0"/>
            </w:tcBorders>
            <w:shd w:val="clear" w:color="auto" w:fill="auto"/>
            <w:vAlign w:val="center"/>
          </w:tcPr>
          <w:p w14:paraId="582BA2A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量程：0～9999ml；</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分度值：1ml；</w:t>
            </w:r>
          </w:p>
        </w:tc>
      </w:tr>
      <w:tr w14:paraId="1B0245FC">
        <w:tblPrEx>
          <w:tblCellMar>
            <w:top w:w="0" w:type="dxa"/>
            <w:left w:w="108" w:type="dxa"/>
            <w:bottom w:w="0" w:type="dxa"/>
            <w:right w:w="108" w:type="dxa"/>
          </w:tblCellMar>
        </w:tblPrEx>
        <w:trPr>
          <w:trHeight w:val="64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02A3B4F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020" w:type="dxa"/>
            <w:tcBorders>
              <w:top w:val="nil"/>
              <w:left w:val="nil"/>
              <w:bottom w:val="single" w:color="auto" w:sz="4" w:space="0"/>
              <w:right w:val="single" w:color="auto" w:sz="4" w:space="0"/>
            </w:tcBorders>
            <w:shd w:val="clear" w:color="auto" w:fill="auto"/>
            <w:noWrap/>
            <w:vAlign w:val="center"/>
          </w:tcPr>
          <w:p w14:paraId="5D63260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50米跑</w:t>
            </w:r>
          </w:p>
        </w:tc>
        <w:tc>
          <w:tcPr>
            <w:tcW w:w="2200" w:type="dxa"/>
            <w:tcBorders>
              <w:top w:val="nil"/>
              <w:left w:val="nil"/>
              <w:bottom w:val="single" w:color="auto" w:sz="4" w:space="0"/>
              <w:right w:val="single" w:color="auto" w:sz="4" w:space="0"/>
            </w:tcBorders>
            <w:shd w:val="clear" w:color="auto" w:fill="auto"/>
            <w:noWrap/>
            <w:vAlign w:val="center"/>
          </w:tcPr>
          <w:p w14:paraId="3FB6A56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50米跑测试仪</w:t>
            </w:r>
          </w:p>
        </w:tc>
        <w:tc>
          <w:tcPr>
            <w:tcW w:w="3580" w:type="dxa"/>
            <w:tcBorders>
              <w:top w:val="nil"/>
              <w:left w:val="nil"/>
              <w:bottom w:val="single" w:color="auto" w:sz="4" w:space="0"/>
              <w:right w:val="single" w:color="auto" w:sz="4" w:space="0"/>
            </w:tcBorders>
            <w:shd w:val="clear" w:color="auto" w:fill="auto"/>
            <w:vAlign w:val="center"/>
          </w:tcPr>
          <w:p w14:paraId="5CF4162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量程：0～999.9s；</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分度值：0.01s；</w:t>
            </w:r>
          </w:p>
        </w:tc>
      </w:tr>
      <w:tr w14:paraId="4E3A8E3E">
        <w:tblPrEx>
          <w:tblCellMar>
            <w:top w:w="0" w:type="dxa"/>
            <w:left w:w="108" w:type="dxa"/>
            <w:bottom w:w="0" w:type="dxa"/>
            <w:right w:w="108" w:type="dxa"/>
          </w:tblCellMar>
        </w:tblPrEx>
        <w:trPr>
          <w:trHeight w:val="1161"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4143A56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020" w:type="dxa"/>
            <w:tcBorders>
              <w:top w:val="nil"/>
              <w:left w:val="nil"/>
              <w:bottom w:val="single" w:color="auto" w:sz="4" w:space="0"/>
              <w:right w:val="single" w:color="auto" w:sz="4" w:space="0"/>
            </w:tcBorders>
            <w:shd w:val="clear" w:color="auto" w:fill="auto"/>
            <w:noWrap/>
            <w:vAlign w:val="center"/>
          </w:tcPr>
          <w:p w14:paraId="5B2CED2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引体向上</w:t>
            </w:r>
          </w:p>
        </w:tc>
        <w:tc>
          <w:tcPr>
            <w:tcW w:w="2200" w:type="dxa"/>
            <w:tcBorders>
              <w:top w:val="nil"/>
              <w:left w:val="nil"/>
              <w:bottom w:val="single" w:color="auto" w:sz="4" w:space="0"/>
              <w:right w:val="single" w:color="auto" w:sz="4" w:space="0"/>
            </w:tcBorders>
            <w:shd w:val="clear" w:color="auto" w:fill="auto"/>
            <w:noWrap/>
            <w:vAlign w:val="center"/>
          </w:tcPr>
          <w:p w14:paraId="6592ECB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引体向上测试仪</w:t>
            </w:r>
          </w:p>
        </w:tc>
        <w:tc>
          <w:tcPr>
            <w:tcW w:w="3580" w:type="dxa"/>
            <w:tcBorders>
              <w:top w:val="nil"/>
              <w:left w:val="nil"/>
              <w:bottom w:val="single" w:color="auto" w:sz="4" w:space="0"/>
              <w:right w:val="single" w:color="auto" w:sz="4" w:space="0"/>
            </w:tcBorders>
            <w:shd w:val="clear" w:color="auto" w:fill="auto"/>
            <w:vAlign w:val="center"/>
          </w:tcPr>
          <w:p w14:paraId="5090633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量程：0～9999次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分度值：1次</w:t>
            </w:r>
          </w:p>
        </w:tc>
      </w:tr>
      <w:tr w14:paraId="402E6A0B">
        <w:tblPrEx>
          <w:tblCellMar>
            <w:top w:w="0" w:type="dxa"/>
            <w:left w:w="108" w:type="dxa"/>
            <w:bottom w:w="0" w:type="dxa"/>
            <w:right w:w="108" w:type="dxa"/>
          </w:tblCellMar>
        </w:tblPrEx>
        <w:trPr>
          <w:trHeight w:val="76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376FBDE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2020" w:type="dxa"/>
            <w:tcBorders>
              <w:top w:val="nil"/>
              <w:left w:val="nil"/>
              <w:bottom w:val="single" w:color="auto" w:sz="4" w:space="0"/>
              <w:right w:val="single" w:color="auto" w:sz="4" w:space="0"/>
            </w:tcBorders>
            <w:shd w:val="clear" w:color="auto" w:fill="auto"/>
            <w:noWrap/>
            <w:vAlign w:val="center"/>
          </w:tcPr>
          <w:p w14:paraId="54D46D6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坐位体前屈</w:t>
            </w:r>
          </w:p>
        </w:tc>
        <w:tc>
          <w:tcPr>
            <w:tcW w:w="2200" w:type="dxa"/>
            <w:tcBorders>
              <w:top w:val="nil"/>
              <w:left w:val="nil"/>
              <w:bottom w:val="single" w:color="auto" w:sz="4" w:space="0"/>
              <w:right w:val="single" w:color="auto" w:sz="4" w:space="0"/>
            </w:tcBorders>
            <w:shd w:val="clear" w:color="auto" w:fill="auto"/>
            <w:noWrap/>
            <w:vAlign w:val="center"/>
          </w:tcPr>
          <w:p w14:paraId="7474F9C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坐位体前屈测试仪</w:t>
            </w:r>
          </w:p>
        </w:tc>
        <w:tc>
          <w:tcPr>
            <w:tcW w:w="3580" w:type="dxa"/>
            <w:tcBorders>
              <w:top w:val="nil"/>
              <w:left w:val="nil"/>
              <w:bottom w:val="single" w:color="auto" w:sz="4" w:space="0"/>
              <w:right w:val="single" w:color="auto" w:sz="4" w:space="0"/>
            </w:tcBorders>
            <w:shd w:val="clear" w:color="auto" w:fill="auto"/>
            <w:vAlign w:val="center"/>
          </w:tcPr>
          <w:p w14:paraId="469E40F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量程：-20cm～40cm；</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分度值：0.1cm；</w:t>
            </w:r>
          </w:p>
        </w:tc>
      </w:tr>
      <w:tr w14:paraId="70D35956">
        <w:tblPrEx>
          <w:tblCellMar>
            <w:top w:w="0" w:type="dxa"/>
            <w:left w:w="108" w:type="dxa"/>
            <w:bottom w:w="0" w:type="dxa"/>
            <w:right w:w="108" w:type="dxa"/>
          </w:tblCellMar>
        </w:tblPrEx>
        <w:trPr>
          <w:trHeight w:val="921"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4FA6F19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020" w:type="dxa"/>
            <w:tcBorders>
              <w:top w:val="nil"/>
              <w:left w:val="nil"/>
              <w:bottom w:val="single" w:color="auto" w:sz="4" w:space="0"/>
              <w:right w:val="single" w:color="auto" w:sz="4" w:space="0"/>
            </w:tcBorders>
            <w:shd w:val="clear" w:color="auto" w:fill="auto"/>
            <w:noWrap/>
            <w:vAlign w:val="center"/>
          </w:tcPr>
          <w:p w14:paraId="528E7C7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仰卧起坐</w:t>
            </w:r>
          </w:p>
        </w:tc>
        <w:tc>
          <w:tcPr>
            <w:tcW w:w="2200" w:type="dxa"/>
            <w:tcBorders>
              <w:top w:val="nil"/>
              <w:left w:val="nil"/>
              <w:bottom w:val="single" w:color="auto" w:sz="4" w:space="0"/>
              <w:right w:val="single" w:color="auto" w:sz="4" w:space="0"/>
            </w:tcBorders>
            <w:shd w:val="clear" w:color="auto" w:fill="auto"/>
            <w:noWrap/>
            <w:vAlign w:val="center"/>
          </w:tcPr>
          <w:p w14:paraId="3F4A39A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仰卧起坐测试仪</w:t>
            </w:r>
          </w:p>
        </w:tc>
        <w:tc>
          <w:tcPr>
            <w:tcW w:w="3580" w:type="dxa"/>
            <w:tcBorders>
              <w:top w:val="nil"/>
              <w:left w:val="nil"/>
              <w:bottom w:val="single" w:color="auto" w:sz="4" w:space="0"/>
              <w:right w:val="single" w:color="auto" w:sz="4" w:space="0"/>
            </w:tcBorders>
            <w:shd w:val="clear" w:color="auto" w:fill="auto"/>
            <w:vAlign w:val="center"/>
          </w:tcPr>
          <w:p w14:paraId="1D9178C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量程：0～99次；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分度值：1次；</w:t>
            </w:r>
          </w:p>
        </w:tc>
      </w:tr>
      <w:tr w14:paraId="62B5B118">
        <w:tblPrEx>
          <w:tblCellMar>
            <w:top w:w="0" w:type="dxa"/>
            <w:left w:w="108" w:type="dxa"/>
            <w:bottom w:w="0" w:type="dxa"/>
            <w:right w:w="108" w:type="dxa"/>
          </w:tblCellMar>
        </w:tblPrEx>
        <w:trPr>
          <w:trHeight w:val="90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7717196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2020" w:type="dxa"/>
            <w:tcBorders>
              <w:top w:val="nil"/>
              <w:left w:val="nil"/>
              <w:bottom w:val="single" w:color="auto" w:sz="4" w:space="0"/>
              <w:right w:val="single" w:color="auto" w:sz="4" w:space="0"/>
            </w:tcBorders>
            <w:shd w:val="clear" w:color="auto" w:fill="auto"/>
            <w:noWrap/>
            <w:vAlign w:val="center"/>
          </w:tcPr>
          <w:p w14:paraId="4C3734B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立定跳远</w:t>
            </w:r>
          </w:p>
        </w:tc>
        <w:tc>
          <w:tcPr>
            <w:tcW w:w="2200" w:type="dxa"/>
            <w:tcBorders>
              <w:top w:val="nil"/>
              <w:left w:val="nil"/>
              <w:bottom w:val="single" w:color="auto" w:sz="4" w:space="0"/>
              <w:right w:val="single" w:color="auto" w:sz="4" w:space="0"/>
            </w:tcBorders>
            <w:shd w:val="clear" w:color="auto" w:fill="auto"/>
            <w:noWrap/>
            <w:vAlign w:val="center"/>
          </w:tcPr>
          <w:p w14:paraId="7CEDA99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立定跳远测试仪</w:t>
            </w:r>
          </w:p>
        </w:tc>
        <w:tc>
          <w:tcPr>
            <w:tcW w:w="3580" w:type="dxa"/>
            <w:tcBorders>
              <w:top w:val="nil"/>
              <w:left w:val="nil"/>
              <w:bottom w:val="single" w:color="auto" w:sz="4" w:space="0"/>
              <w:right w:val="single" w:color="auto" w:sz="4" w:space="0"/>
            </w:tcBorders>
            <w:shd w:val="clear" w:color="auto" w:fill="auto"/>
            <w:vAlign w:val="center"/>
          </w:tcPr>
          <w:p w14:paraId="448FFBA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量程：0～350cm</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分度值：1cm</w:t>
            </w:r>
          </w:p>
        </w:tc>
      </w:tr>
      <w:tr w14:paraId="169CE422">
        <w:tblPrEx>
          <w:tblCellMar>
            <w:top w:w="0" w:type="dxa"/>
            <w:left w:w="108" w:type="dxa"/>
            <w:bottom w:w="0" w:type="dxa"/>
            <w:right w:w="108" w:type="dxa"/>
          </w:tblCellMar>
        </w:tblPrEx>
        <w:trPr>
          <w:trHeight w:val="681"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6F57E2D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2020" w:type="dxa"/>
            <w:tcBorders>
              <w:top w:val="nil"/>
              <w:left w:val="nil"/>
              <w:bottom w:val="single" w:color="auto" w:sz="4" w:space="0"/>
              <w:right w:val="single" w:color="auto" w:sz="4" w:space="0"/>
            </w:tcBorders>
            <w:shd w:val="clear" w:color="auto" w:fill="auto"/>
            <w:noWrap/>
            <w:vAlign w:val="center"/>
          </w:tcPr>
          <w:p w14:paraId="19A685B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800/1000米中长跑</w:t>
            </w:r>
          </w:p>
        </w:tc>
        <w:tc>
          <w:tcPr>
            <w:tcW w:w="2200" w:type="dxa"/>
            <w:tcBorders>
              <w:top w:val="nil"/>
              <w:left w:val="nil"/>
              <w:bottom w:val="single" w:color="auto" w:sz="4" w:space="0"/>
              <w:right w:val="single" w:color="auto" w:sz="4" w:space="0"/>
            </w:tcBorders>
            <w:shd w:val="clear" w:color="auto" w:fill="auto"/>
            <w:noWrap/>
            <w:vAlign w:val="center"/>
          </w:tcPr>
          <w:p w14:paraId="246459B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中长跑测试仪</w:t>
            </w:r>
          </w:p>
        </w:tc>
        <w:tc>
          <w:tcPr>
            <w:tcW w:w="3580" w:type="dxa"/>
            <w:tcBorders>
              <w:top w:val="nil"/>
              <w:left w:val="nil"/>
              <w:bottom w:val="single" w:color="auto" w:sz="4" w:space="0"/>
              <w:right w:val="single" w:color="auto" w:sz="4" w:space="0"/>
            </w:tcBorders>
            <w:shd w:val="clear" w:color="auto" w:fill="auto"/>
            <w:vAlign w:val="center"/>
          </w:tcPr>
          <w:p w14:paraId="38D320C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量程0～9999.99s</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分度值：0.01s</w:t>
            </w:r>
          </w:p>
        </w:tc>
      </w:tr>
    </w:tbl>
    <w:p w14:paraId="09E3A85C">
      <w:pPr>
        <w:outlineLvl w:val="9"/>
        <w:rPr>
          <w:rFonts w:hint="eastAsia" w:ascii="宋体" w:hAnsi="宋体" w:eastAsia="宋体" w:cs="宋体"/>
          <w:kern w:val="0"/>
          <w:sz w:val="22"/>
        </w:rPr>
      </w:pPr>
    </w:p>
    <w:p w14:paraId="2CB6A67A">
      <w:pPr>
        <w:outlineLvl w:val="0"/>
        <w:rPr>
          <w:rFonts w:hint="eastAsia" w:ascii="宋体" w:hAnsi="宋体" w:eastAsia="宋体" w:cs="宋体"/>
          <w:b/>
          <w:bCs/>
          <w:sz w:val="28"/>
          <w:szCs w:val="28"/>
        </w:rPr>
      </w:pPr>
      <w:r>
        <w:rPr>
          <w:rFonts w:hint="eastAsia" w:ascii="宋体" w:hAnsi="宋体" w:eastAsia="宋体" w:cs="宋体"/>
          <w:b/>
          <w:bCs/>
          <w:sz w:val="28"/>
          <w:szCs w:val="28"/>
        </w:rPr>
        <w:t>四、评标程序</w:t>
      </w:r>
    </w:p>
    <w:p w14:paraId="13386928">
      <w:pPr>
        <w:widowControl/>
        <w:spacing w:before="75" w:after="75" w:line="440" w:lineRule="exact"/>
        <w:ind w:firstLine="411"/>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1.本项目采用综合评分法，根据企业业绩、服务产品质量、服务水平等因素综合确定中标单位。本项目技术服务资信分值占总分值权重为90%，价格分值占总分值权重为10%。</w:t>
      </w:r>
    </w:p>
    <w:p w14:paraId="57A7C472">
      <w:pPr>
        <w:widowControl/>
        <w:spacing w:before="75" w:after="75" w:line="440" w:lineRule="exact"/>
        <w:jc w:val="left"/>
        <w:rPr>
          <w:rFonts w:hint="eastAsia" w:cs="宋体" w:asciiTheme="minorEastAsia" w:hAnsiTheme="minorEastAsia"/>
          <w:kern w:val="0"/>
          <w:sz w:val="24"/>
          <w:szCs w:val="24"/>
        </w:rPr>
      </w:pP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242"/>
        <w:gridCol w:w="4904"/>
        <w:gridCol w:w="1141"/>
      </w:tblGrid>
      <w:tr w14:paraId="4C8D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14:paraId="4D82FD56">
            <w:pPr>
              <w:adjustRightInd w:val="0"/>
              <w:snapToGrid w:val="0"/>
              <w:spacing w:line="360" w:lineRule="auto"/>
              <w:ind w:right="105" w:rightChars="50"/>
              <w:jc w:val="center"/>
              <w:rPr>
                <w:rFonts w:hint="eastAsia" w:ascii="宋体" w:hAnsi="宋体" w:eastAsia="宋体" w:cs="宋体"/>
                <w:b/>
                <w:bCs/>
                <w:szCs w:val="21"/>
              </w:rPr>
            </w:pPr>
            <w:r>
              <w:rPr>
                <w:rFonts w:hint="eastAsia" w:ascii="宋体" w:hAnsi="宋体" w:eastAsia="宋体" w:cs="宋体"/>
                <w:b/>
                <w:bCs/>
                <w:szCs w:val="21"/>
              </w:rPr>
              <w:t>类别</w:t>
            </w:r>
          </w:p>
        </w:tc>
        <w:tc>
          <w:tcPr>
            <w:tcW w:w="729" w:type="pct"/>
            <w:tcBorders>
              <w:top w:val="single" w:color="auto" w:sz="4" w:space="0"/>
              <w:left w:val="single" w:color="auto" w:sz="4" w:space="0"/>
              <w:bottom w:val="single" w:color="auto" w:sz="4" w:space="0"/>
              <w:right w:val="single" w:color="auto" w:sz="4" w:space="0"/>
            </w:tcBorders>
            <w:vAlign w:val="center"/>
          </w:tcPr>
          <w:p w14:paraId="353D99CB">
            <w:pPr>
              <w:adjustRightInd w:val="0"/>
              <w:snapToGrid w:val="0"/>
              <w:spacing w:line="360" w:lineRule="auto"/>
              <w:ind w:right="105" w:rightChars="50"/>
              <w:jc w:val="center"/>
              <w:rPr>
                <w:rFonts w:hint="eastAsia" w:ascii="宋体" w:hAnsi="宋体" w:eastAsia="宋体" w:cs="宋体"/>
                <w:b/>
                <w:bCs/>
                <w:szCs w:val="21"/>
              </w:rPr>
            </w:pPr>
            <w:r>
              <w:rPr>
                <w:rFonts w:hint="eastAsia" w:ascii="宋体" w:hAnsi="宋体" w:eastAsia="宋体" w:cs="宋体"/>
                <w:b/>
                <w:bCs/>
                <w:szCs w:val="21"/>
              </w:rPr>
              <w:t>评分内容</w:t>
            </w:r>
          </w:p>
        </w:tc>
        <w:tc>
          <w:tcPr>
            <w:tcW w:w="2879" w:type="pct"/>
            <w:tcBorders>
              <w:top w:val="single" w:color="auto" w:sz="4" w:space="0"/>
              <w:left w:val="single" w:color="auto" w:sz="4" w:space="0"/>
              <w:bottom w:val="single" w:color="auto" w:sz="4" w:space="0"/>
              <w:right w:val="single" w:color="auto" w:sz="4" w:space="0"/>
            </w:tcBorders>
            <w:vAlign w:val="center"/>
          </w:tcPr>
          <w:p w14:paraId="1741DA83">
            <w:pPr>
              <w:adjustRightInd w:val="0"/>
              <w:snapToGrid w:val="0"/>
              <w:spacing w:line="360" w:lineRule="auto"/>
              <w:ind w:right="105" w:rightChars="50"/>
              <w:jc w:val="center"/>
              <w:rPr>
                <w:rFonts w:hint="eastAsia" w:ascii="宋体" w:hAnsi="宋体" w:eastAsia="宋体" w:cs="宋体"/>
                <w:b/>
                <w:bCs/>
                <w:szCs w:val="21"/>
              </w:rPr>
            </w:pPr>
            <w:r>
              <w:rPr>
                <w:rFonts w:hint="eastAsia" w:ascii="宋体" w:hAnsi="宋体" w:eastAsia="宋体" w:cs="宋体"/>
                <w:b/>
                <w:bCs/>
                <w:szCs w:val="21"/>
              </w:rPr>
              <w:t>评分标准</w:t>
            </w:r>
          </w:p>
        </w:tc>
        <w:tc>
          <w:tcPr>
            <w:tcW w:w="670" w:type="pct"/>
            <w:tcBorders>
              <w:top w:val="single" w:color="auto" w:sz="4" w:space="0"/>
              <w:left w:val="single" w:color="auto" w:sz="4" w:space="0"/>
              <w:bottom w:val="single" w:color="auto" w:sz="4" w:space="0"/>
              <w:right w:val="single" w:color="auto" w:sz="4" w:space="0"/>
            </w:tcBorders>
            <w:vAlign w:val="center"/>
          </w:tcPr>
          <w:p w14:paraId="54689E4B">
            <w:pPr>
              <w:adjustRightInd w:val="0"/>
              <w:snapToGrid w:val="0"/>
              <w:spacing w:line="360" w:lineRule="auto"/>
              <w:ind w:right="105" w:rightChars="50"/>
              <w:jc w:val="center"/>
              <w:rPr>
                <w:rFonts w:hint="eastAsia" w:ascii="宋体" w:hAnsi="宋体" w:eastAsia="宋体" w:cs="宋体"/>
                <w:b/>
                <w:bCs/>
                <w:szCs w:val="21"/>
              </w:rPr>
            </w:pPr>
            <w:r>
              <w:rPr>
                <w:rFonts w:hint="eastAsia" w:ascii="宋体" w:hAnsi="宋体" w:eastAsia="宋体" w:cs="宋体"/>
                <w:b/>
                <w:bCs/>
                <w:szCs w:val="21"/>
              </w:rPr>
              <w:t>分值范围</w:t>
            </w:r>
          </w:p>
        </w:tc>
      </w:tr>
      <w:tr w14:paraId="3545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vMerge w:val="restart"/>
            <w:tcBorders>
              <w:top w:val="single" w:color="auto" w:sz="4" w:space="0"/>
              <w:left w:val="single" w:color="auto" w:sz="4" w:space="0"/>
              <w:right w:val="single" w:color="auto" w:sz="4" w:space="0"/>
            </w:tcBorders>
            <w:vAlign w:val="center"/>
          </w:tcPr>
          <w:p w14:paraId="6B916053">
            <w:pPr>
              <w:adjustRightInd w:val="0"/>
              <w:snapToGrid w:val="0"/>
              <w:spacing w:line="360" w:lineRule="auto"/>
              <w:ind w:right="105" w:rightChars="50"/>
              <w:jc w:val="center"/>
              <w:rPr>
                <w:rFonts w:hint="eastAsia" w:ascii="宋体" w:hAnsi="宋体" w:eastAsia="宋体" w:cs="宋体"/>
                <w:szCs w:val="21"/>
              </w:rPr>
            </w:pPr>
            <w:r>
              <w:rPr>
                <w:rFonts w:hint="eastAsia" w:ascii="宋体" w:hAnsi="宋体" w:eastAsia="宋体" w:cs="宋体"/>
                <w:szCs w:val="21"/>
              </w:rPr>
              <w:t>技术资信分（</w:t>
            </w:r>
            <w:r>
              <w:rPr>
                <w:rFonts w:hint="eastAsia" w:ascii="宋体" w:hAnsi="宋体" w:eastAsia="宋体" w:cs="宋体"/>
                <w:szCs w:val="21"/>
                <w:u w:val="single"/>
              </w:rPr>
              <w:t xml:space="preserve"> 90</w:t>
            </w:r>
            <w:r>
              <w:rPr>
                <w:rFonts w:hint="eastAsia" w:ascii="宋体" w:hAnsi="宋体" w:eastAsia="宋体" w:cs="宋体"/>
                <w:szCs w:val="21"/>
              </w:rPr>
              <w:t>分）</w:t>
            </w:r>
          </w:p>
        </w:tc>
        <w:tc>
          <w:tcPr>
            <w:tcW w:w="729" w:type="pct"/>
            <w:tcBorders>
              <w:top w:val="single" w:color="auto" w:sz="4" w:space="0"/>
              <w:left w:val="single" w:color="auto" w:sz="4" w:space="0"/>
              <w:bottom w:val="single" w:color="auto" w:sz="4" w:space="0"/>
              <w:right w:val="single" w:color="auto" w:sz="4" w:space="0"/>
            </w:tcBorders>
            <w:vAlign w:val="center"/>
          </w:tcPr>
          <w:p w14:paraId="432945CA">
            <w:pPr>
              <w:adjustRightInd w:val="0"/>
              <w:snapToGrid w:val="0"/>
              <w:spacing w:line="360" w:lineRule="auto"/>
              <w:ind w:right="105" w:rightChars="50"/>
              <w:jc w:val="center"/>
              <w:rPr>
                <w:rFonts w:hint="eastAsia" w:ascii="宋体" w:hAnsi="宋体" w:eastAsia="宋体" w:cs="宋体"/>
                <w:bCs/>
                <w:szCs w:val="21"/>
              </w:rPr>
            </w:pPr>
            <w:r>
              <w:rPr>
                <w:rFonts w:hint="eastAsia" w:ascii="宋体" w:hAnsi="宋体" w:eastAsia="宋体" w:cs="宋体"/>
                <w:bCs/>
                <w:szCs w:val="21"/>
              </w:rPr>
              <w:t>类似业绩</w:t>
            </w:r>
          </w:p>
        </w:tc>
        <w:tc>
          <w:tcPr>
            <w:tcW w:w="2879" w:type="pct"/>
            <w:tcBorders>
              <w:top w:val="single" w:color="auto" w:sz="4" w:space="0"/>
              <w:left w:val="single" w:color="auto" w:sz="4" w:space="0"/>
              <w:bottom w:val="single" w:color="auto" w:sz="4" w:space="0"/>
              <w:right w:val="single" w:color="auto" w:sz="4" w:space="0"/>
            </w:tcBorders>
            <w:vAlign w:val="center"/>
          </w:tcPr>
          <w:p w14:paraId="2167371E">
            <w:pPr>
              <w:adjustRightInd w:val="0"/>
              <w:snapToGrid w:val="0"/>
              <w:spacing w:line="360" w:lineRule="auto"/>
              <w:ind w:right="105" w:rightChars="50"/>
              <w:jc w:val="left"/>
              <w:rPr>
                <w:rFonts w:hint="eastAsia" w:ascii="宋体" w:hAnsi="宋体" w:eastAsia="宋体" w:cs="宋体"/>
                <w:bCs/>
                <w:szCs w:val="21"/>
              </w:rPr>
            </w:pPr>
            <w:r>
              <w:rPr>
                <w:rFonts w:hint="eastAsia" w:ascii="宋体" w:hAnsi="宋体" w:eastAsia="宋体" w:cs="宋体"/>
                <w:bCs/>
                <w:szCs w:val="21"/>
              </w:rPr>
              <w:t>2021年1月1日以来（以合同签订时间为准），投标人具有中小学学生体质健康检测（或监测或测试）服务业绩，每个业绩得</w:t>
            </w:r>
            <w:r>
              <w:rPr>
                <w:rFonts w:hint="eastAsia" w:ascii="宋体" w:hAnsi="宋体" w:eastAsia="宋体" w:cs="宋体"/>
                <w:bCs/>
                <w:szCs w:val="21"/>
                <w:lang w:val="en-US" w:eastAsia="zh-CN"/>
              </w:rPr>
              <w:t>4</w:t>
            </w:r>
            <w:r>
              <w:rPr>
                <w:rFonts w:hint="eastAsia" w:ascii="宋体" w:hAnsi="宋体" w:eastAsia="宋体" w:cs="宋体"/>
                <w:bCs/>
                <w:szCs w:val="21"/>
              </w:rPr>
              <w:t>分，最高得12分。</w:t>
            </w:r>
          </w:p>
          <w:p w14:paraId="0FBA407C">
            <w:pPr>
              <w:adjustRightInd w:val="0"/>
              <w:snapToGrid w:val="0"/>
              <w:spacing w:line="360" w:lineRule="auto"/>
              <w:ind w:right="105" w:rightChars="50"/>
              <w:jc w:val="left"/>
              <w:rPr>
                <w:rFonts w:hint="eastAsia" w:ascii="宋体" w:hAnsi="宋体" w:eastAsia="宋体" w:cs="宋体"/>
                <w:b/>
                <w:bCs/>
                <w:szCs w:val="21"/>
              </w:rPr>
            </w:pPr>
            <w:r>
              <w:rPr>
                <w:rFonts w:hint="eastAsia" w:ascii="宋体" w:hAnsi="宋体" w:eastAsia="宋体" w:cs="宋体"/>
                <w:b/>
                <w:bCs/>
                <w:szCs w:val="21"/>
              </w:rPr>
              <w:t>注：上述业绩须已完成。以响应文件中提供的有效合同为证明材料为评审依据，如合同无法体现评审要素的，须另附合同甲方出具的有效证明材料（加盖合同甲方公章）。</w:t>
            </w:r>
          </w:p>
        </w:tc>
        <w:tc>
          <w:tcPr>
            <w:tcW w:w="670" w:type="pct"/>
            <w:tcBorders>
              <w:top w:val="single" w:color="auto" w:sz="4" w:space="0"/>
              <w:left w:val="single" w:color="auto" w:sz="4" w:space="0"/>
              <w:bottom w:val="single" w:color="auto" w:sz="4" w:space="0"/>
              <w:right w:val="single" w:color="auto" w:sz="4" w:space="0"/>
            </w:tcBorders>
            <w:vAlign w:val="center"/>
          </w:tcPr>
          <w:p w14:paraId="77488C91">
            <w:pPr>
              <w:adjustRightInd w:val="0"/>
              <w:snapToGrid w:val="0"/>
              <w:spacing w:line="360" w:lineRule="auto"/>
              <w:ind w:right="105" w:rightChars="50"/>
              <w:jc w:val="center"/>
              <w:rPr>
                <w:rFonts w:hint="eastAsia" w:ascii="宋体" w:hAnsi="宋体" w:eastAsia="宋体" w:cs="宋体"/>
                <w:bCs/>
                <w:szCs w:val="21"/>
              </w:rPr>
            </w:pPr>
            <w:r>
              <w:rPr>
                <w:rFonts w:hint="eastAsia" w:ascii="宋体" w:hAnsi="宋体" w:eastAsia="宋体" w:cs="宋体"/>
                <w:bCs/>
                <w:szCs w:val="21"/>
              </w:rPr>
              <w:t>0-12分</w:t>
            </w:r>
          </w:p>
        </w:tc>
      </w:tr>
      <w:tr w14:paraId="3837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pct"/>
            <w:vMerge w:val="continue"/>
            <w:tcBorders>
              <w:left w:val="single" w:color="auto" w:sz="4" w:space="0"/>
              <w:right w:val="single" w:color="auto" w:sz="4" w:space="0"/>
            </w:tcBorders>
            <w:vAlign w:val="center"/>
          </w:tcPr>
          <w:p w14:paraId="4767022E">
            <w:pPr>
              <w:adjustRightInd w:val="0"/>
              <w:snapToGrid w:val="0"/>
              <w:spacing w:line="360" w:lineRule="auto"/>
              <w:ind w:right="105" w:rightChars="50" w:firstLine="435"/>
              <w:jc w:val="center"/>
              <w:rPr>
                <w:rFonts w:hint="eastAsia" w:ascii="宋体" w:hAnsi="宋体" w:eastAsia="宋体" w:cs="宋体"/>
                <w:b/>
                <w:bCs/>
                <w:szCs w:val="21"/>
              </w:rPr>
            </w:pPr>
          </w:p>
        </w:tc>
        <w:tc>
          <w:tcPr>
            <w:tcW w:w="729" w:type="pct"/>
            <w:tcBorders>
              <w:top w:val="single" w:color="auto" w:sz="4" w:space="0"/>
              <w:left w:val="single" w:color="auto" w:sz="4" w:space="0"/>
              <w:bottom w:val="single" w:color="auto" w:sz="4" w:space="0"/>
              <w:right w:val="single" w:color="auto" w:sz="4" w:space="0"/>
            </w:tcBorders>
            <w:vAlign w:val="center"/>
          </w:tcPr>
          <w:p w14:paraId="55CB812A">
            <w:pPr>
              <w:adjustRightInd w:val="0"/>
              <w:snapToGrid w:val="0"/>
              <w:spacing w:line="360" w:lineRule="auto"/>
              <w:ind w:right="105" w:rightChars="50"/>
              <w:jc w:val="center"/>
              <w:rPr>
                <w:rFonts w:hint="eastAsia" w:ascii="宋体" w:hAnsi="宋体" w:eastAsia="宋体" w:cs="宋体"/>
                <w:bCs/>
                <w:szCs w:val="21"/>
              </w:rPr>
            </w:pPr>
            <w:r>
              <w:rPr>
                <w:rFonts w:hint="eastAsia" w:ascii="宋体" w:hAnsi="宋体" w:eastAsia="宋体" w:cs="宋体"/>
                <w:bCs/>
                <w:szCs w:val="21"/>
              </w:rPr>
              <w:t>所投设备质量要求</w:t>
            </w:r>
          </w:p>
        </w:tc>
        <w:tc>
          <w:tcPr>
            <w:tcW w:w="2879" w:type="pct"/>
            <w:tcBorders>
              <w:top w:val="single" w:color="auto" w:sz="4" w:space="0"/>
              <w:left w:val="single" w:color="auto" w:sz="4" w:space="0"/>
              <w:bottom w:val="single" w:color="auto" w:sz="4" w:space="0"/>
              <w:right w:val="single" w:color="auto" w:sz="4" w:space="0"/>
            </w:tcBorders>
            <w:vAlign w:val="center"/>
          </w:tcPr>
          <w:p w14:paraId="7B271C05">
            <w:pPr>
              <w:widowControl/>
              <w:adjustRightInd w:val="0"/>
              <w:snapToGrid w:val="0"/>
              <w:spacing w:line="360" w:lineRule="auto"/>
              <w:ind w:right="105" w:rightChars="50"/>
              <w:rPr>
                <w:rFonts w:hint="eastAsia" w:cs="仿宋" w:asciiTheme="majorEastAsia" w:hAnsiTheme="majorEastAsia" w:eastAsiaTheme="majorEastAsia"/>
                <w:bCs/>
                <w:szCs w:val="21"/>
              </w:rPr>
            </w:pPr>
            <w:r>
              <w:rPr>
                <w:rFonts w:hint="eastAsia" w:cs="仿宋" w:asciiTheme="majorEastAsia" w:hAnsiTheme="majorEastAsia" w:eastAsiaTheme="majorEastAsia"/>
                <w:bCs/>
                <w:szCs w:val="21"/>
              </w:rPr>
              <w:t>1、投标人所用测试设备生产厂家同时具有国家认证认可监督管理委员会认证机构颁发的有效的质量、环境、职业健康安全、知识产权管理体系认证证书的，得8分，缺项不得分。</w:t>
            </w:r>
          </w:p>
          <w:p w14:paraId="266ADE02">
            <w:pPr>
              <w:widowControl/>
              <w:adjustRightInd w:val="0"/>
              <w:snapToGrid w:val="0"/>
              <w:spacing w:line="360" w:lineRule="auto"/>
              <w:ind w:right="105" w:rightChars="50"/>
              <w:rPr>
                <w:rFonts w:hint="eastAsia" w:cs="仿宋" w:asciiTheme="majorEastAsia" w:hAnsiTheme="majorEastAsia" w:eastAsiaTheme="majorEastAsia"/>
                <w:bCs/>
                <w:szCs w:val="21"/>
              </w:rPr>
            </w:pPr>
            <w:r>
              <w:rPr>
                <w:rFonts w:hint="eastAsia" w:cs="仿宋" w:asciiTheme="majorEastAsia" w:hAnsiTheme="majorEastAsia" w:eastAsiaTheme="majorEastAsia"/>
                <w:b/>
                <w:bCs/>
                <w:szCs w:val="21"/>
              </w:rPr>
              <w:t>注：以响应文件中提供的有效证书及中国国家认证认可监督管理委员会官网证书查询截图为评审依据。</w:t>
            </w:r>
          </w:p>
          <w:p w14:paraId="6CD3C5AB">
            <w:pPr>
              <w:widowControl/>
              <w:adjustRightInd w:val="0"/>
              <w:snapToGrid w:val="0"/>
              <w:spacing w:line="360" w:lineRule="auto"/>
              <w:ind w:right="105" w:rightChars="50"/>
              <w:rPr>
                <w:rFonts w:hint="eastAsia" w:cs="仿宋" w:asciiTheme="majorEastAsia" w:hAnsiTheme="majorEastAsia" w:eastAsiaTheme="majorEastAsia"/>
                <w:bCs/>
                <w:szCs w:val="21"/>
              </w:rPr>
            </w:pPr>
            <w:r>
              <w:rPr>
                <w:rFonts w:hint="eastAsia" w:cs="仿宋" w:asciiTheme="majorEastAsia" w:hAnsiTheme="majorEastAsia" w:eastAsiaTheme="majorEastAsia"/>
                <w:bCs/>
                <w:szCs w:val="21"/>
              </w:rPr>
              <w:t>2、投标人所用测试设备均具有NSCC国体认证的，得2分。</w:t>
            </w:r>
          </w:p>
          <w:p w14:paraId="13533440">
            <w:pPr>
              <w:adjustRightInd w:val="0"/>
              <w:snapToGrid w:val="0"/>
              <w:spacing w:line="360" w:lineRule="auto"/>
              <w:ind w:right="105" w:rightChars="50"/>
              <w:jc w:val="left"/>
              <w:rPr>
                <w:rFonts w:hint="eastAsia" w:cs="仿宋" w:asciiTheme="majorEastAsia" w:hAnsiTheme="majorEastAsia" w:eastAsiaTheme="majorEastAsia"/>
                <w:bCs/>
                <w:szCs w:val="21"/>
              </w:rPr>
            </w:pPr>
            <w:r>
              <w:rPr>
                <w:rFonts w:cs="仿宋" w:asciiTheme="majorEastAsia" w:hAnsiTheme="majorEastAsia" w:eastAsiaTheme="majorEastAsia"/>
                <w:bCs/>
                <w:szCs w:val="21"/>
              </w:rPr>
              <w:t>3.</w:t>
            </w:r>
            <w:r>
              <w:rPr>
                <w:rFonts w:hint="eastAsia" w:cs="仿宋" w:asciiTheme="majorEastAsia" w:hAnsiTheme="majorEastAsia" w:eastAsiaTheme="majorEastAsia"/>
                <w:bCs/>
                <w:szCs w:val="21"/>
              </w:rPr>
              <w:t>投标人所用测试设备生产厂家具备教育部数据直报资格，得2 分。</w:t>
            </w:r>
          </w:p>
          <w:p w14:paraId="7A0829ED">
            <w:pPr>
              <w:adjustRightInd w:val="0"/>
              <w:snapToGrid w:val="0"/>
              <w:spacing w:line="360" w:lineRule="auto"/>
              <w:ind w:right="105" w:rightChars="50"/>
              <w:jc w:val="left"/>
              <w:rPr>
                <w:rFonts w:hint="eastAsia" w:cs="仿宋" w:asciiTheme="majorEastAsia" w:hAnsiTheme="majorEastAsia" w:eastAsiaTheme="majorEastAsia"/>
                <w:b/>
                <w:bCs/>
                <w:szCs w:val="21"/>
              </w:rPr>
            </w:pPr>
            <w:r>
              <w:rPr>
                <w:rFonts w:hint="eastAsia" w:cs="仿宋" w:asciiTheme="majorEastAsia" w:hAnsiTheme="majorEastAsia" w:eastAsiaTheme="majorEastAsia"/>
                <w:b/>
                <w:bCs/>
                <w:szCs w:val="21"/>
              </w:rPr>
              <w:t>注：以响应文件中提供的教育部学生体质健康网《关于 2018 年度具备数据直报资格厂商名单的公示》页面截图 为评审依据。</w:t>
            </w:r>
          </w:p>
          <w:p w14:paraId="263D6F85">
            <w:pPr>
              <w:widowControl/>
              <w:adjustRightInd w:val="0"/>
              <w:snapToGrid w:val="0"/>
              <w:spacing w:line="360" w:lineRule="auto"/>
              <w:ind w:right="105" w:rightChars="50"/>
              <w:rPr>
                <w:rFonts w:hint="eastAsia" w:cs="仿宋" w:asciiTheme="majorEastAsia" w:hAnsiTheme="majorEastAsia" w:eastAsiaTheme="majorEastAsia"/>
                <w:bCs/>
                <w:szCs w:val="21"/>
              </w:rPr>
            </w:pPr>
            <w:r>
              <w:rPr>
                <w:rFonts w:hint="eastAsia" w:cs="仿宋" w:asciiTheme="majorEastAsia" w:hAnsiTheme="majorEastAsia" w:eastAsiaTheme="majorEastAsia"/>
                <w:bCs/>
                <w:szCs w:val="21"/>
              </w:rPr>
              <w:t>4、提供测试设备同时具有产品责任险、质量保证保险的得2分。少一项扣1分。</w:t>
            </w:r>
          </w:p>
          <w:p w14:paraId="1DEC1610">
            <w:pPr>
              <w:adjustRightInd w:val="0"/>
              <w:snapToGrid w:val="0"/>
              <w:spacing w:line="300" w:lineRule="exact"/>
              <w:ind w:right="105" w:rightChars="50"/>
              <w:jc w:val="left"/>
              <w:rPr>
                <w:rFonts w:hint="eastAsia" w:cs="仿宋" w:asciiTheme="majorEastAsia" w:hAnsiTheme="majorEastAsia" w:eastAsiaTheme="majorEastAsia"/>
                <w:b/>
                <w:bCs/>
                <w:szCs w:val="21"/>
              </w:rPr>
            </w:pPr>
            <w:r>
              <w:rPr>
                <w:rFonts w:hint="eastAsia" w:cs="仿宋" w:asciiTheme="majorEastAsia" w:hAnsiTheme="majorEastAsia" w:eastAsiaTheme="majorEastAsia"/>
                <w:b/>
                <w:bCs/>
                <w:szCs w:val="21"/>
              </w:rPr>
              <w:t>注：以响应文件中提供的保险单为评审依据。</w:t>
            </w:r>
          </w:p>
          <w:p w14:paraId="05172800">
            <w:pPr>
              <w:widowControl/>
              <w:spacing w:line="360" w:lineRule="auto"/>
              <w:jc w:val="left"/>
              <w:rPr>
                <w:rFonts w:hint="eastAsia" w:cs="仿宋" w:asciiTheme="majorEastAsia" w:hAnsiTheme="majorEastAsia" w:eastAsiaTheme="majorEastAsia"/>
                <w:bCs/>
                <w:szCs w:val="21"/>
              </w:rPr>
            </w:pPr>
            <w:r>
              <w:rPr>
                <w:rFonts w:hint="eastAsia" w:cs="仿宋" w:asciiTheme="majorEastAsia" w:hAnsiTheme="majorEastAsia" w:eastAsiaTheme="majorEastAsia"/>
                <w:bCs/>
                <w:szCs w:val="21"/>
              </w:rPr>
              <w:t>5、为保证数据安全，体测数据系统或软件须取得公安部门出具的信息系统安全等级保护备案证明（三级），提供备案证明得2分，不提供不得分。</w:t>
            </w:r>
          </w:p>
          <w:p w14:paraId="646646B7">
            <w:pPr>
              <w:adjustRightInd w:val="0"/>
              <w:snapToGrid w:val="0"/>
              <w:spacing w:line="300" w:lineRule="exact"/>
              <w:ind w:right="105" w:rightChars="50"/>
              <w:jc w:val="left"/>
              <w:rPr>
                <w:rFonts w:hint="eastAsia" w:cs="仿宋" w:asciiTheme="majorEastAsia" w:hAnsiTheme="majorEastAsia" w:eastAsiaTheme="majorEastAsia"/>
                <w:b/>
                <w:bCs/>
                <w:szCs w:val="21"/>
              </w:rPr>
            </w:pPr>
            <w:r>
              <w:rPr>
                <w:rFonts w:hint="eastAsia" w:cs="仿宋" w:asciiTheme="majorEastAsia" w:hAnsiTheme="majorEastAsia" w:eastAsiaTheme="majorEastAsia"/>
                <w:b/>
                <w:bCs/>
                <w:szCs w:val="21"/>
              </w:rPr>
              <w:t>注：以响应文件中提供的备案证明为评审依据。</w:t>
            </w:r>
          </w:p>
          <w:p w14:paraId="42B3B598">
            <w:pPr>
              <w:widowControl/>
              <w:spacing w:line="360" w:lineRule="auto"/>
              <w:jc w:val="left"/>
              <w:rPr>
                <w:rFonts w:hint="eastAsia" w:cs="仿宋" w:asciiTheme="majorEastAsia" w:hAnsiTheme="majorEastAsia" w:eastAsiaTheme="majorEastAsia"/>
                <w:bCs/>
                <w:szCs w:val="21"/>
              </w:rPr>
            </w:pPr>
            <w:r>
              <w:rPr>
                <w:rFonts w:hint="eastAsia" w:cs="仿宋" w:asciiTheme="majorEastAsia" w:hAnsiTheme="majorEastAsia" w:eastAsiaTheme="majorEastAsia"/>
                <w:bCs/>
                <w:szCs w:val="21"/>
              </w:rPr>
              <w:t>6、为保证数据安全，体测数据系统或软件须通过网络安全等级保护测评（三级），提供测评报告得2分，不提供不得分。</w:t>
            </w:r>
          </w:p>
          <w:p w14:paraId="034A5D44">
            <w:pPr>
              <w:adjustRightInd w:val="0"/>
              <w:snapToGrid w:val="0"/>
              <w:spacing w:line="300" w:lineRule="exact"/>
              <w:ind w:right="105" w:rightChars="50"/>
              <w:jc w:val="left"/>
              <w:rPr>
                <w:rFonts w:hint="eastAsia" w:cs="仿宋" w:asciiTheme="majorEastAsia" w:hAnsiTheme="majorEastAsia" w:eastAsiaTheme="majorEastAsia"/>
                <w:b/>
                <w:bCs/>
                <w:szCs w:val="21"/>
              </w:rPr>
            </w:pPr>
            <w:r>
              <w:rPr>
                <w:rFonts w:hint="eastAsia" w:cs="仿宋" w:asciiTheme="majorEastAsia" w:hAnsiTheme="majorEastAsia" w:eastAsiaTheme="majorEastAsia"/>
                <w:b/>
                <w:bCs/>
                <w:szCs w:val="21"/>
              </w:rPr>
              <w:t>注：以响应文件中提供的测评报告为评审依据。</w:t>
            </w:r>
          </w:p>
        </w:tc>
        <w:tc>
          <w:tcPr>
            <w:tcW w:w="670" w:type="pct"/>
            <w:tcBorders>
              <w:top w:val="single" w:color="auto" w:sz="4" w:space="0"/>
              <w:left w:val="single" w:color="auto" w:sz="4" w:space="0"/>
              <w:bottom w:val="single" w:color="auto" w:sz="4" w:space="0"/>
              <w:right w:val="single" w:color="auto" w:sz="4" w:space="0"/>
            </w:tcBorders>
            <w:vAlign w:val="center"/>
          </w:tcPr>
          <w:p w14:paraId="56E8B366">
            <w:pPr>
              <w:adjustRightInd w:val="0"/>
              <w:snapToGrid w:val="0"/>
              <w:spacing w:line="360" w:lineRule="auto"/>
              <w:ind w:right="105" w:rightChars="50"/>
              <w:jc w:val="center"/>
              <w:rPr>
                <w:rFonts w:hint="eastAsia" w:ascii="宋体" w:hAnsi="宋体" w:eastAsia="宋体" w:cs="宋体"/>
                <w:bCs/>
                <w:szCs w:val="21"/>
              </w:rPr>
            </w:pPr>
            <w:r>
              <w:rPr>
                <w:rFonts w:hint="eastAsia" w:ascii="宋体" w:hAnsi="宋体" w:eastAsia="宋体" w:cs="宋体"/>
                <w:bCs/>
                <w:szCs w:val="21"/>
              </w:rPr>
              <w:t>0-18分</w:t>
            </w:r>
          </w:p>
        </w:tc>
      </w:tr>
      <w:tr w14:paraId="7D8A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vMerge w:val="continue"/>
            <w:tcBorders>
              <w:left w:val="single" w:color="auto" w:sz="4" w:space="0"/>
              <w:right w:val="single" w:color="auto" w:sz="4" w:space="0"/>
            </w:tcBorders>
            <w:vAlign w:val="center"/>
          </w:tcPr>
          <w:p w14:paraId="3685E7EC">
            <w:pPr>
              <w:adjustRightInd w:val="0"/>
              <w:snapToGrid w:val="0"/>
              <w:spacing w:line="360" w:lineRule="auto"/>
              <w:ind w:right="105" w:rightChars="50" w:firstLine="435"/>
              <w:jc w:val="center"/>
              <w:rPr>
                <w:rFonts w:hint="eastAsia" w:ascii="宋体" w:hAnsi="宋体" w:eastAsia="宋体" w:cs="宋体"/>
                <w:b/>
                <w:bCs/>
                <w:szCs w:val="21"/>
              </w:rPr>
            </w:pPr>
          </w:p>
        </w:tc>
        <w:tc>
          <w:tcPr>
            <w:tcW w:w="729" w:type="pct"/>
            <w:tcBorders>
              <w:top w:val="single" w:color="auto" w:sz="4" w:space="0"/>
              <w:left w:val="single" w:color="auto" w:sz="4" w:space="0"/>
              <w:bottom w:val="single" w:color="auto" w:sz="4" w:space="0"/>
              <w:right w:val="single" w:color="auto" w:sz="4" w:space="0"/>
            </w:tcBorders>
            <w:vAlign w:val="center"/>
          </w:tcPr>
          <w:p w14:paraId="4A1F06A0">
            <w:pPr>
              <w:adjustRightInd w:val="0"/>
              <w:snapToGrid w:val="0"/>
              <w:spacing w:line="360" w:lineRule="auto"/>
              <w:ind w:right="105" w:rightChars="50"/>
              <w:jc w:val="center"/>
              <w:rPr>
                <w:rFonts w:hint="eastAsia" w:ascii="宋体" w:hAnsi="宋体" w:eastAsia="宋体" w:cs="宋体"/>
                <w:bCs/>
                <w:szCs w:val="21"/>
              </w:rPr>
            </w:pPr>
            <w:bookmarkStart w:id="12" w:name="OLE_LINK38"/>
            <w:r>
              <w:rPr>
                <w:rFonts w:hint="eastAsia" w:ascii="宋体" w:hAnsi="宋体" w:eastAsia="宋体" w:cs="宋体"/>
                <w:szCs w:val="21"/>
              </w:rPr>
              <w:t>智慧体测管理系统</w:t>
            </w:r>
            <w:bookmarkEnd w:id="12"/>
          </w:p>
        </w:tc>
        <w:tc>
          <w:tcPr>
            <w:tcW w:w="2879" w:type="pct"/>
            <w:tcBorders>
              <w:top w:val="single" w:color="auto" w:sz="4" w:space="0"/>
              <w:left w:val="single" w:color="auto" w:sz="4" w:space="0"/>
              <w:bottom w:val="single" w:color="auto" w:sz="4" w:space="0"/>
              <w:right w:val="single" w:color="auto" w:sz="4" w:space="0"/>
            </w:tcBorders>
            <w:vAlign w:val="center"/>
          </w:tcPr>
          <w:p w14:paraId="234E0351">
            <w:pPr>
              <w:adjustRightInd w:val="0"/>
              <w:snapToGrid w:val="0"/>
              <w:spacing w:line="360" w:lineRule="auto"/>
              <w:ind w:right="105" w:rightChars="50"/>
              <w:jc w:val="left"/>
              <w:rPr>
                <w:rFonts w:hint="eastAsia" w:ascii="宋体" w:hAnsi="宋体" w:eastAsia="宋体" w:cs="宋体"/>
                <w:bCs/>
                <w:szCs w:val="21"/>
              </w:rPr>
            </w:pPr>
            <w:r>
              <w:rPr>
                <w:rFonts w:hint="eastAsia" w:ascii="宋体" w:hAnsi="宋体" w:eastAsia="宋体" w:cs="宋体"/>
                <w:bCs/>
                <w:szCs w:val="21"/>
              </w:rPr>
              <w:t>投标供应商拟配备的</w:t>
            </w:r>
            <w:bookmarkStart w:id="13" w:name="OLE_LINK42"/>
            <w:r>
              <w:rPr>
                <w:rFonts w:hint="eastAsia" w:ascii="宋体" w:hAnsi="宋体" w:eastAsia="宋体" w:cs="宋体"/>
                <w:szCs w:val="21"/>
              </w:rPr>
              <w:t>智慧体测管理系统</w:t>
            </w:r>
            <w:bookmarkEnd w:id="13"/>
            <w:r>
              <w:rPr>
                <w:rFonts w:hint="eastAsia" w:ascii="宋体" w:hAnsi="宋体" w:eastAsia="宋体" w:cs="宋体"/>
                <w:bCs/>
                <w:szCs w:val="21"/>
              </w:rPr>
              <w:t>主要技术参数（标注“</w:t>
            </w:r>
            <w:r>
              <w:rPr>
                <w:rFonts w:hint="eastAsia" w:ascii="宋体" w:hAnsi="宋体" w:eastAsia="宋体" w:cs="宋体"/>
                <w:color w:val="000000"/>
                <w:kern w:val="0"/>
                <w:szCs w:val="21"/>
                <w:lang w:bidi="ar"/>
              </w:rPr>
              <w:t>▲</w:t>
            </w:r>
            <w:r>
              <w:rPr>
                <w:rFonts w:hint="eastAsia" w:ascii="宋体" w:hAnsi="宋体" w:eastAsia="宋体" w:cs="宋体"/>
                <w:bCs/>
                <w:szCs w:val="21"/>
              </w:rPr>
              <w:t>”的条款）完全满足或优于技术要求的，每满足一项得2分，满分30分。(如某标注条款中包含多条技术参数或要求，则该项所含内容均需满足或优于招标文件要求，否则不得分。)</w:t>
            </w:r>
          </w:p>
          <w:p w14:paraId="02E1F014">
            <w:pPr>
              <w:adjustRightInd w:val="0"/>
              <w:snapToGrid w:val="0"/>
              <w:spacing w:line="360" w:lineRule="auto"/>
              <w:ind w:right="105" w:rightChars="50"/>
              <w:jc w:val="left"/>
              <w:rPr>
                <w:rFonts w:hint="eastAsia" w:ascii="宋体" w:hAnsi="宋体" w:eastAsia="宋体" w:cs="宋体"/>
                <w:bCs/>
                <w:szCs w:val="21"/>
              </w:rPr>
            </w:pPr>
            <w:r>
              <w:rPr>
                <w:rFonts w:hint="eastAsia" w:ascii="宋体" w:hAnsi="宋体" w:eastAsia="宋体" w:cs="宋体"/>
                <w:bCs/>
                <w:szCs w:val="21"/>
              </w:rPr>
              <w:t>注：以响应文件中提供的磋商响应表及采购需求中要求提供的相关证明材料为评审依据</w:t>
            </w:r>
          </w:p>
          <w:p w14:paraId="30C3E4D7">
            <w:pPr>
              <w:pStyle w:val="25"/>
              <w:adjustRightInd w:val="0"/>
              <w:snapToGrid w:val="0"/>
              <w:spacing w:line="360" w:lineRule="auto"/>
              <w:ind w:right="105" w:rightChars="50"/>
              <w:jc w:val="left"/>
              <w:rPr>
                <w:rFonts w:hint="eastAsia" w:ascii="宋体" w:hAnsi="宋体" w:cs="宋体"/>
                <w:b/>
                <w:bCs/>
                <w:szCs w:val="21"/>
              </w:rPr>
            </w:pPr>
            <w:r>
              <w:rPr>
                <w:rFonts w:hint="eastAsia" w:ascii="宋体" w:hAnsi="宋体" w:cs="宋体"/>
                <w:b/>
                <w:bCs/>
                <w:szCs w:val="21"/>
              </w:rPr>
              <w:t>注：响应文件中需提供投标文件中提供 CMA 和 CNAS认可的第三方检测机构出具的设备检测报告扫描件或测试报告扫描件。</w:t>
            </w:r>
          </w:p>
          <w:p w14:paraId="662EE113">
            <w:pPr>
              <w:adjustRightInd w:val="0"/>
              <w:snapToGrid w:val="0"/>
              <w:spacing w:line="360" w:lineRule="auto"/>
              <w:ind w:right="105" w:rightChars="50"/>
              <w:jc w:val="left"/>
              <w:rPr>
                <w:rFonts w:hint="eastAsia" w:ascii="宋体" w:hAnsi="宋体" w:eastAsia="宋体" w:cs="宋体"/>
                <w:b/>
                <w:bCs/>
                <w:color w:val="FF0000"/>
                <w:szCs w:val="21"/>
              </w:rPr>
            </w:pPr>
            <w:r>
              <w:rPr>
                <w:rFonts w:hint="eastAsia" w:ascii="宋体" w:hAnsi="宋体" w:eastAsia="宋体" w:cs="宋体"/>
                <w:szCs w:val="21"/>
              </w:rPr>
              <w:t>未提供不得分</w:t>
            </w:r>
          </w:p>
        </w:tc>
        <w:tc>
          <w:tcPr>
            <w:tcW w:w="670" w:type="pct"/>
            <w:tcBorders>
              <w:top w:val="single" w:color="auto" w:sz="4" w:space="0"/>
              <w:left w:val="single" w:color="auto" w:sz="4" w:space="0"/>
              <w:bottom w:val="single" w:color="auto" w:sz="4" w:space="0"/>
              <w:right w:val="single" w:color="auto" w:sz="4" w:space="0"/>
            </w:tcBorders>
            <w:vAlign w:val="center"/>
          </w:tcPr>
          <w:p w14:paraId="2F7D85FF">
            <w:pPr>
              <w:adjustRightInd w:val="0"/>
              <w:snapToGrid w:val="0"/>
              <w:spacing w:line="360" w:lineRule="auto"/>
              <w:ind w:right="105" w:rightChars="50"/>
              <w:jc w:val="center"/>
              <w:rPr>
                <w:rFonts w:hint="eastAsia" w:ascii="宋体" w:hAnsi="宋体" w:eastAsia="宋体" w:cs="宋体"/>
                <w:bCs/>
                <w:szCs w:val="21"/>
              </w:rPr>
            </w:pPr>
            <w:bookmarkStart w:id="14" w:name="OLE_LINK65"/>
            <w:r>
              <w:rPr>
                <w:rFonts w:hint="eastAsia" w:ascii="宋体" w:hAnsi="宋体" w:eastAsia="宋体" w:cs="宋体"/>
                <w:bCs/>
                <w:szCs w:val="21"/>
              </w:rPr>
              <w:t>0-30分</w:t>
            </w:r>
            <w:bookmarkEnd w:id="14"/>
          </w:p>
        </w:tc>
      </w:tr>
      <w:tr w14:paraId="6427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9" w:hRule="atLeast"/>
          <w:jc w:val="center"/>
        </w:trPr>
        <w:tc>
          <w:tcPr>
            <w:tcW w:w="722" w:type="pct"/>
            <w:vMerge w:val="continue"/>
            <w:tcBorders>
              <w:left w:val="single" w:color="auto" w:sz="4" w:space="0"/>
              <w:right w:val="single" w:color="auto" w:sz="4" w:space="0"/>
            </w:tcBorders>
            <w:vAlign w:val="center"/>
          </w:tcPr>
          <w:p w14:paraId="3F436895">
            <w:pPr>
              <w:adjustRightInd w:val="0"/>
              <w:snapToGrid w:val="0"/>
              <w:spacing w:line="360" w:lineRule="auto"/>
              <w:ind w:right="105" w:rightChars="50" w:firstLine="435"/>
              <w:jc w:val="center"/>
              <w:rPr>
                <w:rFonts w:hint="eastAsia" w:ascii="宋体" w:hAnsi="宋体" w:eastAsia="宋体" w:cs="宋体"/>
                <w:b/>
                <w:bCs/>
                <w:szCs w:val="21"/>
              </w:rPr>
            </w:pPr>
          </w:p>
        </w:tc>
        <w:tc>
          <w:tcPr>
            <w:tcW w:w="729" w:type="pct"/>
            <w:tcBorders>
              <w:top w:val="single" w:color="auto" w:sz="4" w:space="0"/>
              <w:left w:val="single" w:color="auto" w:sz="4" w:space="0"/>
              <w:bottom w:val="single" w:color="auto" w:sz="4" w:space="0"/>
              <w:right w:val="single" w:color="auto" w:sz="4" w:space="0"/>
            </w:tcBorders>
            <w:vAlign w:val="center"/>
          </w:tcPr>
          <w:p w14:paraId="180FE6AF">
            <w:pPr>
              <w:adjustRightInd w:val="0"/>
              <w:snapToGrid w:val="0"/>
              <w:spacing w:line="360" w:lineRule="auto"/>
              <w:ind w:right="105" w:rightChars="50"/>
              <w:jc w:val="center"/>
              <w:rPr>
                <w:rFonts w:hint="eastAsia" w:ascii="宋体" w:hAnsi="宋体" w:eastAsia="宋体" w:cs="宋体"/>
                <w:szCs w:val="21"/>
                <w:highlight w:val="cyan"/>
              </w:rPr>
            </w:pPr>
            <w:r>
              <w:rPr>
                <w:rFonts w:hint="eastAsia" w:ascii="宋体" w:hAnsi="宋体" w:eastAsia="宋体" w:cs="宋体"/>
                <w:szCs w:val="21"/>
              </w:rPr>
              <w:t>知识产权</w:t>
            </w:r>
          </w:p>
        </w:tc>
        <w:tc>
          <w:tcPr>
            <w:tcW w:w="2879" w:type="pct"/>
            <w:tcBorders>
              <w:top w:val="single" w:color="auto" w:sz="4" w:space="0"/>
              <w:left w:val="single" w:color="auto" w:sz="4" w:space="0"/>
              <w:bottom w:val="single" w:color="auto" w:sz="4" w:space="0"/>
              <w:right w:val="single" w:color="auto" w:sz="4" w:space="0"/>
            </w:tcBorders>
            <w:vAlign w:val="center"/>
          </w:tcPr>
          <w:p w14:paraId="35119726">
            <w:pPr>
              <w:pStyle w:val="26"/>
              <w:spacing w:before="142" w:line="351" w:lineRule="auto"/>
              <w:ind w:left="55" w:right="47" w:hanging="1"/>
              <w:rPr>
                <w:rFonts w:hint="eastAsia"/>
                <w:sz w:val="21"/>
                <w:szCs w:val="21"/>
                <w:lang w:eastAsia="zh-CN"/>
              </w:rPr>
            </w:pPr>
            <w:r>
              <w:rPr>
                <w:rFonts w:hint="eastAsia"/>
                <w:sz w:val="21"/>
                <w:szCs w:val="21"/>
                <w:lang w:eastAsia="zh-CN"/>
              </w:rPr>
              <w:t>投标人具有智慧体育相关IT信息化的技术能力，可提供学生体质体测方向关于学生画像分析的体质健康监测预警系统类和基于领域建模的多维分析系统类等类似软件著作权登记证书的，每提供1类得5分，本项满分10分。</w:t>
            </w:r>
          </w:p>
          <w:p w14:paraId="7EE062E5">
            <w:pPr>
              <w:pStyle w:val="26"/>
              <w:spacing w:before="142" w:line="351" w:lineRule="auto"/>
              <w:ind w:left="55" w:right="47" w:hanging="1"/>
              <w:rPr>
                <w:rFonts w:hint="eastAsia"/>
                <w:sz w:val="21"/>
                <w:szCs w:val="21"/>
                <w:highlight w:val="cyan"/>
                <w:lang w:eastAsia="zh-CN"/>
              </w:rPr>
            </w:pPr>
            <w:r>
              <w:rPr>
                <w:rFonts w:hint="eastAsia"/>
                <w:sz w:val="21"/>
                <w:szCs w:val="21"/>
                <w:lang w:eastAsia="zh-CN"/>
              </w:rPr>
              <w:t>注：投标时须提供软件软著登记证书上传至电子投标文件中。</w:t>
            </w:r>
          </w:p>
        </w:tc>
        <w:tc>
          <w:tcPr>
            <w:tcW w:w="670" w:type="pct"/>
            <w:tcBorders>
              <w:top w:val="single" w:color="auto" w:sz="4" w:space="0"/>
              <w:left w:val="single" w:color="auto" w:sz="4" w:space="0"/>
              <w:bottom w:val="single" w:color="auto" w:sz="4" w:space="0"/>
              <w:right w:val="single" w:color="auto" w:sz="4" w:space="0"/>
            </w:tcBorders>
            <w:vAlign w:val="center"/>
          </w:tcPr>
          <w:p w14:paraId="013EE015">
            <w:pPr>
              <w:adjustRightInd w:val="0"/>
              <w:snapToGrid w:val="0"/>
              <w:spacing w:line="360" w:lineRule="auto"/>
              <w:ind w:right="105" w:rightChars="50"/>
              <w:jc w:val="center"/>
              <w:rPr>
                <w:rFonts w:hint="eastAsia" w:ascii="宋体" w:hAnsi="宋体" w:eastAsia="宋体" w:cs="宋体"/>
                <w:bCs/>
                <w:szCs w:val="21"/>
                <w:highlight w:val="cyan"/>
              </w:rPr>
            </w:pPr>
            <w:r>
              <w:rPr>
                <w:rFonts w:hint="eastAsia" w:ascii="宋体" w:hAnsi="宋体" w:eastAsia="宋体" w:cs="宋体"/>
                <w:bCs/>
                <w:szCs w:val="21"/>
              </w:rPr>
              <w:t>0-10分</w:t>
            </w:r>
          </w:p>
        </w:tc>
      </w:tr>
      <w:tr w14:paraId="4CF2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vMerge w:val="continue"/>
            <w:tcBorders>
              <w:left w:val="single" w:color="auto" w:sz="4" w:space="0"/>
              <w:right w:val="single" w:color="auto" w:sz="4" w:space="0"/>
            </w:tcBorders>
            <w:vAlign w:val="center"/>
          </w:tcPr>
          <w:p w14:paraId="51D77AAF">
            <w:pPr>
              <w:adjustRightInd w:val="0"/>
              <w:snapToGrid w:val="0"/>
              <w:spacing w:line="360" w:lineRule="auto"/>
              <w:ind w:right="105" w:rightChars="50" w:firstLine="435"/>
              <w:jc w:val="center"/>
              <w:rPr>
                <w:rFonts w:hint="eastAsia" w:ascii="宋体" w:hAnsi="宋体" w:eastAsia="宋体" w:cs="宋体"/>
                <w:b/>
                <w:bCs/>
                <w:szCs w:val="21"/>
              </w:rPr>
            </w:pPr>
          </w:p>
        </w:tc>
        <w:tc>
          <w:tcPr>
            <w:tcW w:w="729" w:type="pct"/>
            <w:tcBorders>
              <w:top w:val="single" w:color="auto" w:sz="4" w:space="0"/>
              <w:left w:val="single" w:color="auto" w:sz="4" w:space="0"/>
              <w:bottom w:val="single" w:color="auto" w:sz="4" w:space="0"/>
              <w:right w:val="single" w:color="auto" w:sz="4" w:space="0"/>
            </w:tcBorders>
            <w:vAlign w:val="center"/>
          </w:tcPr>
          <w:p w14:paraId="528A796B">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应急预案</w:t>
            </w:r>
          </w:p>
        </w:tc>
        <w:tc>
          <w:tcPr>
            <w:tcW w:w="2879" w:type="pct"/>
            <w:tcBorders>
              <w:top w:val="single" w:color="auto" w:sz="4" w:space="0"/>
              <w:left w:val="single" w:color="auto" w:sz="4" w:space="0"/>
              <w:bottom w:val="single" w:color="auto" w:sz="4" w:space="0"/>
              <w:right w:val="single" w:color="auto" w:sz="4" w:space="0"/>
            </w:tcBorders>
            <w:vAlign w:val="center"/>
          </w:tcPr>
          <w:p w14:paraId="2560E2A7">
            <w:pPr>
              <w:pStyle w:val="26"/>
              <w:spacing w:before="142" w:line="351" w:lineRule="auto"/>
              <w:ind w:left="55" w:right="47" w:hanging="1"/>
              <w:rPr>
                <w:rFonts w:hint="eastAsia"/>
                <w:sz w:val="21"/>
                <w:szCs w:val="21"/>
                <w:lang w:eastAsia="zh-CN"/>
              </w:rPr>
            </w:pPr>
            <w:r>
              <w:rPr>
                <w:rFonts w:hint="eastAsia"/>
                <w:sz w:val="21"/>
                <w:szCs w:val="21"/>
                <w:lang w:eastAsia="zh-CN"/>
              </w:rPr>
              <w:t>评委会根据投标人提供的应急工作预案进行综合评分：</w:t>
            </w:r>
          </w:p>
          <w:p w14:paraId="10E3DFE9">
            <w:pPr>
              <w:pStyle w:val="26"/>
              <w:spacing w:before="142" w:line="351" w:lineRule="auto"/>
              <w:ind w:left="55" w:right="47" w:hanging="1"/>
              <w:rPr>
                <w:rFonts w:hint="eastAsia"/>
                <w:sz w:val="21"/>
                <w:szCs w:val="21"/>
                <w:lang w:eastAsia="zh-CN"/>
              </w:rPr>
            </w:pPr>
            <w:r>
              <w:rPr>
                <w:rFonts w:hint="eastAsia"/>
                <w:sz w:val="21"/>
                <w:szCs w:val="21"/>
                <w:lang w:eastAsia="zh-CN"/>
              </w:rPr>
              <w:t>（1）应急工作预案内容完整全面、切实可行，重要紧急时段有支持保障方案，得</w:t>
            </w:r>
            <w:r>
              <w:rPr>
                <w:rFonts w:hint="eastAsia"/>
                <w:spacing w:val="-5"/>
                <w:sz w:val="21"/>
                <w:szCs w:val="21"/>
                <w:lang w:eastAsia="zh-CN"/>
              </w:rPr>
              <w:t>8-10</w:t>
            </w:r>
            <w:r>
              <w:rPr>
                <w:rFonts w:hint="eastAsia"/>
                <w:sz w:val="21"/>
                <w:szCs w:val="21"/>
                <w:lang w:eastAsia="zh-CN"/>
              </w:rPr>
              <w:t>分；</w:t>
            </w:r>
          </w:p>
          <w:p w14:paraId="1111ACD0">
            <w:pPr>
              <w:pStyle w:val="26"/>
              <w:spacing w:before="142" w:line="351" w:lineRule="auto"/>
              <w:ind w:left="55" w:right="47" w:hanging="1"/>
              <w:rPr>
                <w:rFonts w:hint="eastAsia"/>
                <w:sz w:val="21"/>
                <w:szCs w:val="21"/>
                <w:lang w:eastAsia="zh-CN"/>
              </w:rPr>
            </w:pPr>
            <w:r>
              <w:rPr>
                <w:rFonts w:hint="eastAsia"/>
                <w:sz w:val="21"/>
                <w:szCs w:val="21"/>
                <w:lang w:eastAsia="zh-CN"/>
              </w:rPr>
              <w:t>（2）应急工作预案完整、基本可行，重要紧急时段有支持保障方案，得</w:t>
            </w:r>
            <w:r>
              <w:rPr>
                <w:rFonts w:hint="eastAsia"/>
                <w:spacing w:val="-2"/>
                <w:sz w:val="21"/>
                <w:szCs w:val="21"/>
                <w:lang w:eastAsia="zh-CN"/>
              </w:rPr>
              <w:t>5-7</w:t>
            </w:r>
            <w:r>
              <w:rPr>
                <w:rFonts w:hint="eastAsia"/>
                <w:sz w:val="21"/>
                <w:szCs w:val="21"/>
                <w:lang w:eastAsia="zh-CN"/>
              </w:rPr>
              <w:t>分；</w:t>
            </w:r>
          </w:p>
          <w:p w14:paraId="6E1F5FC2">
            <w:pPr>
              <w:pStyle w:val="26"/>
              <w:spacing w:before="142" w:line="351" w:lineRule="auto"/>
              <w:ind w:left="55" w:right="47" w:hanging="1"/>
              <w:rPr>
                <w:rFonts w:hint="eastAsia"/>
                <w:sz w:val="21"/>
                <w:szCs w:val="21"/>
                <w:lang w:eastAsia="zh-CN"/>
              </w:rPr>
            </w:pPr>
            <w:r>
              <w:rPr>
                <w:rFonts w:hint="eastAsia"/>
                <w:sz w:val="21"/>
                <w:szCs w:val="21"/>
                <w:lang w:eastAsia="zh-CN"/>
              </w:rPr>
              <w:t>（3）应急工作预案不够完整、可行性不高，重要紧急时段没有支持保障方案，得</w:t>
            </w:r>
            <w:r>
              <w:rPr>
                <w:rFonts w:hint="eastAsia"/>
                <w:spacing w:val="-12"/>
                <w:sz w:val="21"/>
                <w:szCs w:val="21"/>
                <w:lang w:eastAsia="zh-CN"/>
              </w:rPr>
              <w:t>1-4</w:t>
            </w:r>
            <w:r>
              <w:rPr>
                <w:rFonts w:hint="eastAsia"/>
                <w:sz w:val="21"/>
                <w:szCs w:val="21"/>
                <w:lang w:eastAsia="zh-CN"/>
              </w:rPr>
              <w:t>分；</w:t>
            </w:r>
          </w:p>
          <w:p w14:paraId="44A97828">
            <w:pPr>
              <w:pStyle w:val="26"/>
              <w:spacing w:before="142" w:line="351" w:lineRule="auto"/>
              <w:ind w:left="55" w:right="47" w:hanging="1"/>
              <w:rPr>
                <w:rFonts w:hint="eastAsia"/>
                <w:spacing w:val="-4"/>
                <w:sz w:val="21"/>
                <w:szCs w:val="21"/>
                <w:lang w:eastAsia="zh-CN"/>
              </w:rPr>
            </w:pPr>
            <w:r>
              <w:rPr>
                <w:rFonts w:hint="eastAsia"/>
                <w:sz w:val="21"/>
                <w:szCs w:val="21"/>
                <w:lang w:eastAsia="zh-CN"/>
              </w:rPr>
              <w:t>（4）差或未提供内容的不得分。</w:t>
            </w:r>
          </w:p>
        </w:tc>
        <w:tc>
          <w:tcPr>
            <w:tcW w:w="670" w:type="pct"/>
            <w:tcBorders>
              <w:top w:val="single" w:color="auto" w:sz="4" w:space="0"/>
              <w:left w:val="single" w:color="auto" w:sz="4" w:space="0"/>
              <w:bottom w:val="single" w:color="auto" w:sz="4" w:space="0"/>
              <w:right w:val="single" w:color="auto" w:sz="4" w:space="0"/>
            </w:tcBorders>
            <w:vAlign w:val="center"/>
          </w:tcPr>
          <w:p w14:paraId="347378EA">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0-10分</w:t>
            </w:r>
          </w:p>
        </w:tc>
      </w:tr>
      <w:tr w14:paraId="7B7E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vMerge w:val="continue"/>
            <w:tcBorders>
              <w:left w:val="single" w:color="auto" w:sz="4" w:space="0"/>
              <w:right w:val="single" w:color="auto" w:sz="4" w:space="0"/>
            </w:tcBorders>
            <w:vAlign w:val="center"/>
          </w:tcPr>
          <w:p w14:paraId="0BAA1201">
            <w:pPr>
              <w:adjustRightInd w:val="0"/>
              <w:snapToGrid w:val="0"/>
              <w:spacing w:line="360" w:lineRule="auto"/>
              <w:ind w:right="105" w:rightChars="50" w:firstLine="435"/>
              <w:jc w:val="center"/>
              <w:rPr>
                <w:rFonts w:hint="eastAsia" w:ascii="宋体" w:hAnsi="宋体" w:eastAsia="宋体" w:cs="宋体"/>
                <w:b/>
                <w:bCs/>
                <w:szCs w:val="21"/>
              </w:rPr>
            </w:pPr>
          </w:p>
        </w:tc>
        <w:tc>
          <w:tcPr>
            <w:tcW w:w="729" w:type="pct"/>
            <w:tcBorders>
              <w:top w:val="single" w:color="auto" w:sz="4" w:space="0"/>
              <w:left w:val="single" w:color="auto" w:sz="4" w:space="0"/>
              <w:bottom w:val="single" w:color="auto" w:sz="4" w:space="0"/>
              <w:right w:val="single" w:color="auto" w:sz="4" w:space="0"/>
            </w:tcBorders>
            <w:vAlign w:val="center"/>
          </w:tcPr>
          <w:p w14:paraId="16815C93">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服务方案</w:t>
            </w:r>
          </w:p>
        </w:tc>
        <w:tc>
          <w:tcPr>
            <w:tcW w:w="2879" w:type="pct"/>
            <w:tcBorders>
              <w:top w:val="single" w:color="auto" w:sz="4" w:space="0"/>
              <w:left w:val="single" w:color="auto" w:sz="4" w:space="0"/>
              <w:bottom w:val="single" w:color="auto" w:sz="4" w:space="0"/>
              <w:right w:val="single" w:color="auto" w:sz="4" w:space="0"/>
            </w:tcBorders>
            <w:vAlign w:val="center"/>
          </w:tcPr>
          <w:p w14:paraId="7BC92D52">
            <w:pPr>
              <w:pStyle w:val="26"/>
              <w:spacing w:before="142" w:line="351" w:lineRule="auto"/>
              <w:ind w:left="55" w:right="47" w:hanging="1"/>
              <w:rPr>
                <w:rFonts w:hint="eastAsia"/>
                <w:sz w:val="21"/>
                <w:szCs w:val="21"/>
                <w:lang w:eastAsia="zh-CN"/>
              </w:rPr>
            </w:pPr>
            <w:r>
              <w:rPr>
                <w:rFonts w:hint="eastAsia"/>
                <w:sz w:val="21"/>
                <w:szCs w:val="21"/>
                <w:lang w:eastAsia="zh-CN"/>
              </w:rPr>
              <w:t>评委会根据投标供应商提供的服务方案包括但不限于前期准备、服务流程、时间安排、数据保密措施、设备配备、体</w:t>
            </w:r>
            <w:r>
              <w:rPr>
                <w:rFonts w:hint="eastAsia"/>
                <w:spacing w:val="-4"/>
                <w:sz w:val="21"/>
                <w:szCs w:val="21"/>
                <w:lang w:eastAsia="zh-CN"/>
              </w:rPr>
              <w:t>测体检组织协调等内容进行酌情评分：</w:t>
            </w:r>
          </w:p>
          <w:p w14:paraId="6FDC8C49">
            <w:pPr>
              <w:pStyle w:val="26"/>
              <w:spacing w:before="33" w:line="290" w:lineRule="auto"/>
              <w:ind w:left="55" w:right="7" w:firstLine="17"/>
              <w:rPr>
                <w:rFonts w:hint="eastAsia"/>
                <w:sz w:val="21"/>
                <w:szCs w:val="21"/>
                <w:lang w:eastAsia="zh-CN"/>
              </w:rPr>
            </w:pPr>
            <w:r>
              <w:rPr>
                <w:rFonts w:hint="eastAsia"/>
                <w:spacing w:val="-3"/>
                <w:sz w:val="21"/>
                <w:szCs w:val="21"/>
                <w:lang w:eastAsia="zh-CN"/>
              </w:rPr>
              <w:t>1、服务方案内容完整，时间安排科学合理，设备配备齐全，</w:t>
            </w:r>
            <w:r>
              <w:rPr>
                <w:rFonts w:hint="eastAsia"/>
                <w:sz w:val="21"/>
                <w:szCs w:val="21"/>
                <w:lang w:eastAsia="zh-CN"/>
              </w:rPr>
              <w:t xml:space="preserve"> </w:t>
            </w:r>
            <w:r>
              <w:rPr>
                <w:rFonts w:hint="eastAsia"/>
                <w:spacing w:val="-5"/>
                <w:sz w:val="21"/>
                <w:szCs w:val="21"/>
                <w:lang w:eastAsia="zh-CN"/>
              </w:rPr>
              <w:t>针对性强，得8-10分；</w:t>
            </w:r>
          </w:p>
          <w:p w14:paraId="7AFEC321">
            <w:pPr>
              <w:pStyle w:val="26"/>
              <w:spacing w:before="182" w:line="290" w:lineRule="auto"/>
              <w:ind w:left="55" w:right="57" w:firstLine="2"/>
              <w:rPr>
                <w:rFonts w:hint="eastAsia"/>
                <w:sz w:val="21"/>
                <w:szCs w:val="21"/>
                <w:lang w:eastAsia="zh-CN"/>
              </w:rPr>
            </w:pPr>
            <w:r>
              <w:rPr>
                <w:rFonts w:hint="eastAsia"/>
                <w:spacing w:val="-9"/>
                <w:sz w:val="21"/>
                <w:szCs w:val="21"/>
                <w:lang w:eastAsia="zh-CN"/>
              </w:rPr>
              <w:t>2、服务方案内容较完整， 时间安排较科学合理，设备配备较</w:t>
            </w:r>
            <w:r>
              <w:rPr>
                <w:rFonts w:hint="eastAsia"/>
                <w:spacing w:val="14"/>
                <w:sz w:val="21"/>
                <w:szCs w:val="21"/>
                <w:lang w:eastAsia="zh-CN"/>
              </w:rPr>
              <w:t xml:space="preserve"> </w:t>
            </w:r>
            <w:r>
              <w:rPr>
                <w:rFonts w:hint="eastAsia"/>
                <w:spacing w:val="-2"/>
                <w:sz w:val="21"/>
                <w:szCs w:val="21"/>
                <w:lang w:eastAsia="zh-CN"/>
              </w:rPr>
              <w:t>齐全，针对性较强，得5-7分；</w:t>
            </w:r>
          </w:p>
          <w:p w14:paraId="1A90B783">
            <w:pPr>
              <w:pStyle w:val="26"/>
              <w:spacing w:before="182" w:line="290" w:lineRule="auto"/>
              <w:ind w:left="74" w:right="45" w:hanging="14"/>
              <w:rPr>
                <w:rFonts w:hint="eastAsia"/>
                <w:sz w:val="21"/>
                <w:szCs w:val="21"/>
                <w:lang w:eastAsia="zh-CN"/>
              </w:rPr>
            </w:pPr>
            <w:r>
              <w:rPr>
                <w:rFonts w:hint="eastAsia"/>
                <w:spacing w:val="-4"/>
                <w:sz w:val="21"/>
                <w:szCs w:val="21"/>
                <w:lang w:eastAsia="zh-CN"/>
              </w:rPr>
              <w:t>3、方案在完整性、科学合理性、设备配备、针对性方面一般</w:t>
            </w:r>
            <w:r>
              <w:rPr>
                <w:rFonts w:hint="eastAsia"/>
                <w:spacing w:val="1"/>
                <w:sz w:val="21"/>
                <w:szCs w:val="21"/>
                <w:lang w:eastAsia="zh-CN"/>
              </w:rPr>
              <w:t xml:space="preserve"> </w:t>
            </w:r>
            <w:r>
              <w:rPr>
                <w:rFonts w:hint="eastAsia"/>
                <w:spacing w:val="-12"/>
                <w:sz w:val="21"/>
                <w:szCs w:val="21"/>
                <w:lang w:eastAsia="zh-CN"/>
              </w:rPr>
              <w:t>的，得1-4分；</w:t>
            </w:r>
          </w:p>
          <w:p w14:paraId="3CDCCD12">
            <w:pPr>
              <w:adjustRightInd w:val="0"/>
              <w:snapToGrid w:val="0"/>
              <w:spacing w:line="360" w:lineRule="auto"/>
              <w:jc w:val="left"/>
              <w:textAlignment w:val="center"/>
              <w:rPr>
                <w:rFonts w:hint="eastAsia" w:ascii="宋体" w:hAnsi="宋体" w:eastAsia="宋体" w:cs="宋体"/>
                <w:szCs w:val="21"/>
              </w:rPr>
            </w:pPr>
            <w:r>
              <w:rPr>
                <w:rFonts w:hint="eastAsia" w:ascii="宋体" w:hAnsi="宋体" w:eastAsia="宋体" w:cs="宋体"/>
                <w:spacing w:val="-4"/>
                <w:szCs w:val="21"/>
              </w:rPr>
              <w:t>4、较差或未提供的不得分。</w:t>
            </w:r>
          </w:p>
        </w:tc>
        <w:tc>
          <w:tcPr>
            <w:tcW w:w="670" w:type="pct"/>
            <w:tcBorders>
              <w:top w:val="single" w:color="auto" w:sz="4" w:space="0"/>
              <w:left w:val="single" w:color="auto" w:sz="4" w:space="0"/>
              <w:bottom w:val="single" w:color="auto" w:sz="4" w:space="0"/>
              <w:right w:val="single" w:color="auto" w:sz="4" w:space="0"/>
            </w:tcBorders>
            <w:vAlign w:val="center"/>
          </w:tcPr>
          <w:p w14:paraId="7DB3F304">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0-10分</w:t>
            </w:r>
          </w:p>
        </w:tc>
      </w:tr>
      <w:tr w14:paraId="0D3C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left w:val="single" w:color="auto" w:sz="4" w:space="0"/>
              <w:right w:val="single" w:color="auto" w:sz="4" w:space="0"/>
            </w:tcBorders>
            <w:vAlign w:val="center"/>
          </w:tcPr>
          <w:p w14:paraId="4F210BE5">
            <w:pPr>
              <w:adjustRightInd w:val="0"/>
              <w:snapToGrid w:val="0"/>
              <w:spacing w:line="360" w:lineRule="auto"/>
              <w:ind w:right="105" w:rightChars="50"/>
              <w:jc w:val="center"/>
              <w:rPr>
                <w:rFonts w:hint="eastAsia" w:ascii="宋体" w:hAnsi="宋体" w:eastAsia="宋体" w:cs="宋体"/>
                <w:szCs w:val="21"/>
              </w:rPr>
            </w:pPr>
            <w:r>
              <w:rPr>
                <w:rFonts w:hint="eastAsia" w:ascii="宋体" w:hAnsi="宋体" w:eastAsia="宋体" w:cs="宋体"/>
                <w:szCs w:val="21"/>
              </w:rPr>
              <w:t>价格分</w:t>
            </w:r>
          </w:p>
          <w:p w14:paraId="41D23CC3">
            <w:pPr>
              <w:adjustRightInd w:val="0"/>
              <w:snapToGrid w:val="0"/>
              <w:spacing w:line="360" w:lineRule="auto"/>
              <w:ind w:right="105" w:rightChars="50"/>
              <w:jc w:val="center"/>
              <w:rPr>
                <w:rFonts w:hint="eastAsia" w:ascii="宋体" w:hAnsi="宋体" w:eastAsia="宋体" w:cs="宋体"/>
                <w:b/>
                <w:bCs/>
                <w:szCs w:val="21"/>
              </w:rPr>
            </w:pPr>
            <w:r>
              <w:rPr>
                <w:rFonts w:hint="eastAsia" w:ascii="宋体" w:hAnsi="宋体" w:eastAsia="宋体" w:cs="宋体"/>
                <w:szCs w:val="21"/>
              </w:rPr>
              <w:t>（</w:t>
            </w:r>
            <w:r>
              <w:rPr>
                <w:rFonts w:hint="eastAsia" w:ascii="宋体" w:hAnsi="宋体" w:eastAsia="宋体" w:cs="宋体"/>
                <w:szCs w:val="21"/>
                <w:u w:val="single"/>
              </w:rPr>
              <w:t>10</w:t>
            </w:r>
            <w:r>
              <w:rPr>
                <w:rFonts w:hint="eastAsia" w:ascii="宋体" w:hAnsi="宋体" w:eastAsia="宋体" w:cs="宋体"/>
                <w:szCs w:val="21"/>
              </w:rPr>
              <w:t>分）</w:t>
            </w:r>
          </w:p>
        </w:tc>
        <w:tc>
          <w:tcPr>
            <w:tcW w:w="4278" w:type="pct"/>
            <w:gridSpan w:val="3"/>
            <w:tcBorders>
              <w:top w:val="single" w:color="auto" w:sz="4" w:space="0"/>
              <w:left w:val="single" w:color="auto" w:sz="4" w:space="0"/>
              <w:bottom w:val="single" w:color="auto" w:sz="4" w:space="0"/>
              <w:right w:val="single" w:color="auto" w:sz="4" w:space="0"/>
            </w:tcBorders>
            <w:vAlign w:val="center"/>
          </w:tcPr>
          <w:p w14:paraId="3971E63F">
            <w:pPr>
              <w:adjustRightInd w:val="0"/>
              <w:snapToGrid w:val="0"/>
              <w:spacing w:line="360" w:lineRule="auto"/>
              <w:ind w:right="105" w:rightChars="50"/>
              <w:rPr>
                <w:rFonts w:hint="eastAsia" w:ascii="宋体" w:hAnsi="宋体" w:eastAsia="宋体" w:cs="宋体"/>
                <w:szCs w:val="21"/>
              </w:rPr>
            </w:pPr>
            <w:r>
              <w:rPr>
                <w:rFonts w:hint="eastAsia" w:ascii="宋体" w:hAnsi="宋体" w:eastAsia="宋体" w:cs="宋体"/>
                <w:szCs w:val="21"/>
              </w:rPr>
              <w:t>价格分统一采用低价优先法，即满足磋商文件要求且价格最低的最后报价为评标基准价，其价格分为满分</w:t>
            </w:r>
            <w:r>
              <w:rPr>
                <w:rFonts w:hint="eastAsia" w:ascii="宋体" w:hAnsi="宋体" w:eastAsia="宋体" w:cs="宋体"/>
                <w:szCs w:val="21"/>
                <w:u w:val="single"/>
              </w:rPr>
              <w:t xml:space="preserve"> 10</w:t>
            </w:r>
            <w:r>
              <w:rPr>
                <w:rFonts w:hint="eastAsia" w:ascii="宋体" w:hAnsi="宋体" w:eastAsia="宋体" w:cs="宋体"/>
                <w:szCs w:val="21"/>
              </w:rPr>
              <w:t>分。其他供应商的价格分统一按照下列公式计算（计算结果四舍五入保留至小数点后两位数）：</w:t>
            </w:r>
          </w:p>
          <w:p w14:paraId="619ADDD2">
            <w:pPr>
              <w:adjustRightInd w:val="0"/>
              <w:snapToGrid w:val="0"/>
              <w:spacing w:line="360" w:lineRule="auto"/>
              <w:ind w:right="105" w:rightChars="50"/>
              <w:rPr>
                <w:rFonts w:hint="eastAsia" w:ascii="宋体" w:hAnsi="宋体" w:eastAsia="宋体" w:cs="宋体"/>
                <w:b/>
                <w:bCs/>
                <w:szCs w:val="21"/>
              </w:rPr>
            </w:pPr>
            <w:r>
              <w:rPr>
                <w:rFonts w:hint="eastAsia" w:ascii="宋体" w:hAnsi="宋体" w:eastAsia="宋体" w:cs="宋体"/>
                <w:szCs w:val="21"/>
              </w:rPr>
              <w:t>最后报价得分＝（评标基准价/最后报价）×</w:t>
            </w:r>
            <w:r>
              <w:rPr>
                <w:rFonts w:hint="eastAsia" w:ascii="宋体" w:hAnsi="宋体" w:eastAsia="宋体" w:cs="宋体"/>
                <w:szCs w:val="21"/>
                <w:u w:val="single"/>
              </w:rPr>
              <w:t xml:space="preserve">10 </w:t>
            </w:r>
            <w:r>
              <w:rPr>
                <w:rFonts w:hint="eastAsia" w:ascii="宋体" w:hAnsi="宋体" w:eastAsia="宋体" w:cs="宋体"/>
                <w:szCs w:val="21"/>
              </w:rPr>
              <w:t>％×100</w:t>
            </w:r>
          </w:p>
        </w:tc>
      </w:tr>
    </w:tbl>
    <w:p w14:paraId="174A1023">
      <w:pPr>
        <w:widowControl/>
        <w:spacing w:before="75" w:after="75" w:line="440" w:lineRule="exact"/>
        <w:ind w:firstLine="411"/>
        <w:jc w:val="left"/>
        <w:rPr>
          <w:rFonts w:hint="eastAsia" w:cs="宋体" w:asciiTheme="minorEastAsia" w:hAnsiTheme="minorEastAsia"/>
          <w:kern w:val="0"/>
          <w:sz w:val="24"/>
          <w:szCs w:val="24"/>
        </w:rPr>
      </w:pPr>
      <w:r>
        <w:rPr>
          <w:rFonts w:cs="宋体" w:asciiTheme="minorEastAsia" w:hAnsiTheme="minorEastAsia"/>
          <w:kern w:val="0"/>
          <w:sz w:val="24"/>
          <w:szCs w:val="24"/>
        </w:rPr>
        <w:t>注：投标人按年生均服务费进行报价，单位为元/人（预算价为元 /人/年，超过预算的报价无效），按实际参与测试人数据实结算。</w:t>
      </w:r>
    </w:p>
    <w:p w14:paraId="4B487A51">
      <w:pPr>
        <w:widowControl/>
        <w:spacing w:before="75" w:after="75" w:line="440" w:lineRule="exact"/>
        <w:ind w:firstLine="411"/>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2.投标按总分高低确定第一中标人。</w:t>
      </w:r>
    </w:p>
    <w:p w14:paraId="3322C7E6">
      <w:pPr>
        <w:widowControl/>
        <w:spacing w:line="440" w:lineRule="exact"/>
        <w:ind w:firstLine="411"/>
        <w:jc w:val="left"/>
        <w:rPr>
          <w:rFonts w:hint="eastAsia" w:cs="宋体" w:asciiTheme="minorEastAsia" w:hAnsiTheme="minorEastAsia"/>
          <w:b/>
          <w:bCs/>
          <w:kern w:val="0"/>
          <w:sz w:val="24"/>
          <w:szCs w:val="24"/>
        </w:rPr>
      </w:pPr>
      <w:r>
        <w:rPr>
          <w:rFonts w:hint="eastAsia" w:cs="宋体" w:asciiTheme="minorEastAsia" w:hAnsiTheme="minorEastAsia"/>
          <w:bCs/>
          <w:kern w:val="0"/>
          <w:sz w:val="24"/>
          <w:szCs w:val="24"/>
        </w:rPr>
        <w:t>3.</w:t>
      </w:r>
      <w:r>
        <w:rPr>
          <w:rFonts w:hint="eastAsia"/>
          <w:sz w:val="24"/>
          <w:szCs w:val="24"/>
        </w:rPr>
        <w:t>中标人须</w:t>
      </w:r>
      <w:r>
        <w:rPr>
          <w:sz w:val="24"/>
          <w:szCs w:val="24"/>
        </w:rPr>
        <w:t>对</w:t>
      </w:r>
      <w:r>
        <w:rPr>
          <w:rFonts w:hint="eastAsia"/>
          <w:sz w:val="24"/>
          <w:szCs w:val="24"/>
        </w:rPr>
        <w:t>采购人</w:t>
      </w:r>
      <w:r>
        <w:rPr>
          <w:sz w:val="24"/>
          <w:szCs w:val="24"/>
        </w:rPr>
        <w:t>提供</w:t>
      </w:r>
      <w:r>
        <w:rPr>
          <w:rFonts w:hint="eastAsia"/>
          <w:sz w:val="24"/>
          <w:szCs w:val="24"/>
        </w:rPr>
        <w:t>7*24小时</w:t>
      </w:r>
      <w:r>
        <w:rPr>
          <w:sz w:val="24"/>
          <w:szCs w:val="24"/>
        </w:rPr>
        <w:t>服务</w:t>
      </w:r>
      <w:r>
        <w:rPr>
          <w:rFonts w:hint="eastAsia"/>
          <w:sz w:val="24"/>
          <w:szCs w:val="24"/>
        </w:rPr>
        <w:t>响应</w:t>
      </w:r>
      <w:r>
        <w:rPr>
          <w:sz w:val="24"/>
          <w:szCs w:val="24"/>
        </w:rPr>
        <w:t>，服务的响应时间不超过</w:t>
      </w:r>
      <w:r>
        <w:rPr>
          <w:rFonts w:hint="eastAsia"/>
          <w:sz w:val="24"/>
          <w:szCs w:val="24"/>
        </w:rPr>
        <w:t>4</w:t>
      </w:r>
      <w:r>
        <w:rPr>
          <w:sz w:val="24"/>
          <w:szCs w:val="24"/>
        </w:rPr>
        <w:t>小时，且中标人应保证能够随时接受</w:t>
      </w:r>
      <w:r>
        <w:rPr>
          <w:rFonts w:hint="eastAsia"/>
          <w:sz w:val="24"/>
          <w:szCs w:val="24"/>
        </w:rPr>
        <w:t>采购</w:t>
      </w:r>
      <w:r>
        <w:rPr>
          <w:sz w:val="24"/>
          <w:szCs w:val="24"/>
        </w:rPr>
        <w:t>人的服务需求。</w:t>
      </w:r>
    </w:p>
    <w:p w14:paraId="3A349076">
      <w:pPr>
        <w:widowControl/>
        <w:spacing w:line="440" w:lineRule="exact"/>
        <w:ind w:firstLine="411"/>
        <w:jc w:val="left"/>
        <w:rPr>
          <w:rFonts w:hint="eastAsia" w:cs="宋体" w:asciiTheme="minorEastAsia" w:hAnsiTheme="minorEastAsia"/>
          <w:bCs/>
          <w:kern w:val="0"/>
          <w:sz w:val="24"/>
          <w:szCs w:val="24"/>
        </w:rPr>
      </w:pPr>
      <w:r>
        <w:rPr>
          <w:rFonts w:hint="eastAsia" w:cs="宋体" w:asciiTheme="minorEastAsia" w:hAnsiTheme="minorEastAsia"/>
          <w:bCs/>
          <w:kern w:val="0"/>
          <w:sz w:val="24"/>
          <w:szCs w:val="24"/>
        </w:rPr>
        <w:t>4.评标时，竞标单位不需到场。</w:t>
      </w:r>
    </w:p>
    <w:p w14:paraId="06313CCA">
      <w:pPr>
        <w:outlineLvl w:val="0"/>
        <w:rPr>
          <w:rFonts w:hint="eastAsia" w:ascii="宋体" w:hAnsi="宋体" w:eastAsia="宋体" w:cs="宋体"/>
          <w:b/>
          <w:bCs/>
          <w:sz w:val="28"/>
          <w:szCs w:val="28"/>
        </w:rPr>
      </w:pPr>
      <w:r>
        <w:rPr>
          <w:rFonts w:hint="eastAsia" w:ascii="宋体" w:hAnsi="宋体" w:eastAsia="宋体" w:cs="宋体"/>
          <w:b/>
          <w:bCs/>
          <w:sz w:val="28"/>
          <w:szCs w:val="28"/>
        </w:rPr>
        <w:t>五、</w:t>
      </w:r>
      <w:r>
        <w:rPr>
          <w:rFonts w:hint="eastAsia" w:ascii="宋体" w:hAnsi="宋体" w:eastAsia="宋体" w:cs="宋体"/>
          <w:b/>
          <w:bCs/>
          <w:sz w:val="28"/>
          <w:szCs w:val="28"/>
          <w:lang w:val="en-US" w:eastAsia="zh-CN"/>
        </w:rPr>
        <w:t>响应</w:t>
      </w:r>
      <w:r>
        <w:rPr>
          <w:rFonts w:hint="eastAsia" w:ascii="宋体" w:hAnsi="宋体" w:eastAsia="宋体" w:cs="宋体"/>
          <w:b/>
          <w:bCs/>
          <w:sz w:val="28"/>
          <w:szCs w:val="28"/>
        </w:rPr>
        <w:t>文件</w:t>
      </w:r>
    </w:p>
    <w:p w14:paraId="29F5B354">
      <w:pPr>
        <w:widowControl/>
        <w:spacing w:before="75" w:after="75" w:line="440" w:lineRule="exact"/>
        <w:ind w:firstLine="411"/>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报价人需密封提交标书（</w:t>
      </w:r>
      <w:r>
        <w:rPr>
          <w:rFonts w:cs="宋体" w:asciiTheme="minorEastAsia" w:hAnsiTheme="minorEastAsia"/>
          <w:kern w:val="0"/>
          <w:sz w:val="24"/>
          <w:szCs w:val="24"/>
        </w:rPr>
        <w:t>正本壹份、副本贰份，</w:t>
      </w:r>
      <w:r>
        <w:rPr>
          <w:rFonts w:hint="eastAsia" w:cs="宋体" w:asciiTheme="minorEastAsia" w:hAnsiTheme="minorEastAsia"/>
          <w:kern w:val="0"/>
          <w:sz w:val="24"/>
          <w:szCs w:val="24"/>
        </w:rPr>
        <w:t>正副本叙述有差异时以正本为准）包含但不限于以下内容：</w:t>
      </w:r>
    </w:p>
    <w:p w14:paraId="51ED5BDB">
      <w:pPr>
        <w:widowControl/>
        <w:spacing w:before="75" w:after="75" w:line="440" w:lineRule="exact"/>
        <w:ind w:firstLine="411"/>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1.公司营业执照复印件（加盖单位公章）。</w:t>
      </w:r>
    </w:p>
    <w:p w14:paraId="19E9BF32">
      <w:pPr>
        <w:widowControl/>
        <w:spacing w:before="75" w:after="75" w:line="440" w:lineRule="exact"/>
        <w:ind w:firstLine="411"/>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2.公司法定代表人身份证复印件（加盖单位公章）及法定代表人授权书（加盖单位公章）、报价函（加盖单位公章）。</w:t>
      </w:r>
    </w:p>
    <w:p w14:paraId="3758A473">
      <w:pPr>
        <w:widowControl/>
        <w:spacing w:before="75" w:after="75" w:line="440" w:lineRule="exact"/>
        <w:ind w:firstLine="411"/>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3.委托代理人授权书原件及代理人身份证复印件及原件（加盖单位公章）；</w:t>
      </w:r>
    </w:p>
    <w:p w14:paraId="5EA9ADF6">
      <w:pPr>
        <w:widowControl/>
        <w:spacing w:before="75" w:after="75" w:line="440" w:lineRule="exact"/>
        <w:ind w:firstLine="411"/>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4.根据学校的服务方式提交保障服务内容及承诺。</w:t>
      </w:r>
    </w:p>
    <w:p w14:paraId="2E839C92">
      <w:pPr>
        <w:widowControl/>
        <w:spacing w:before="75" w:after="75" w:line="440" w:lineRule="exact"/>
        <w:ind w:firstLine="411"/>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5.报价单位可以接受的财务结算方式和周期。</w:t>
      </w:r>
    </w:p>
    <w:p w14:paraId="0A1A5D97">
      <w:pPr>
        <w:widowControl/>
        <w:spacing w:before="75" w:after="75" w:line="440" w:lineRule="exact"/>
        <w:ind w:firstLine="411"/>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6.其他有利于公司中标的合法资料。</w:t>
      </w:r>
    </w:p>
    <w:p w14:paraId="30852773">
      <w:pPr>
        <w:outlineLvl w:val="0"/>
        <w:rPr>
          <w:rFonts w:hint="eastAsia" w:ascii="宋体" w:hAnsi="宋体" w:eastAsia="宋体" w:cs="宋体"/>
          <w:b/>
          <w:bCs/>
          <w:sz w:val="28"/>
          <w:szCs w:val="28"/>
        </w:rPr>
      </w:pPr>
      <w:r>
        <w:rPr>
          <w:rFonts w:hint="eastAsia" w:ascii="宋体" w:hAnsi="宋体" w:eastAsia="宋体" w:cs="宋体"/>
          <w:b/>
          <w:bCs/>
          <w:sz w:val="28"/>
          <w:szCs w:val="28"/>
        </w:rPr>
        <w:t>六、特别告知事项</w:t>
      </w:r>
    </w:p>
    <w:p w14:paraId="7F472617">
      <w:pPr>
        <w:widowControl/>
        <w:spacing w:before="75" w:after="75" w:line="440" w:lineRule="exact"/>
        <w:ind w:firstLine="411"/>
        <w:jc w:val="left"/>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响应</w:t>
      </w:r>
      <w:r>
        <w:rPr>
          <w:rFonts w:hint="eastAsia" w:cs="宋体" w:asciiTheme="minorEastAsia" w:hAnsiTheme="minorEastAsia"/>
          <w:kern w:val="0"/>
          <w:sz w:val="24"/>
          <w:szCs w:val="24"/>
        </w:rPr>
        <w:t>文件是将来签订正式合同的组成部分，与正式合同具有同等法律效力；中标后，签订合同价格为固定价格。</w:t>
      </w:r>
    </w:p>
    <w:p w14:paraId="678D2CD9">
      <w:pPr>
        <w:outlineLvl w:val="0"/>
        <w:rPr>
          <w:rFonts w:hint="eastAsia" w:ascii="宋体" w:hAnsi="宋体" w:eastAsia="宋体" w:cs="宋体"/>
          <w:b/>
          <w:bCs/>
          <w:sz w:val="28"/>
          <w:szCs w:val="28"/>
        </w:rPr>
      </w:pPr>
      <w:r>
        <w:rPr>
          <w:rFonts w:hint="eastAsia" w:ascii="宋体" w:hAnsi="宋体" w:eastAsia="宋体" w:cs="宋体"/>
          <w:b/>
          <w:bCs/>
          <w:sz w:val="28"/>
          <w:szCs w:val="28"/>
        </w:rPr>
        <w:t>七、其他要求</w:t>
      </w:r>
    </w:p>
    <w:p w14:paraId="2DFE81A3">
      <w:pPr>
        <w:widowControl/>
        <w:spacing w:before="75" w:after="75" w:line="440" w:lineRule="exact"/>
        <w:ind w:firstLine="411"/>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拟定合同时必须明确以下内容：</w:t>
      </w:r>
    </w:p>
    <w:p w14:paraId="17C006E9">
      <w:pPr>
        <w:widowControl/>
        <w:spacing w:before="75" w:after="75" w:line="440" w:lineRule="exact"/>
        <w:ind w:firstLine="411"/>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1.报价文件以及附件是合同的组成部分；</w:t>
      </w:r>
    </w:p>
    <w:p w14:paraId="3CD5D111">
      <w:pPr>
        <w:widowControl/>
        <w:spacing w:before="75" w:after="75" w:line="440" w:lineRule="exact"/>
        <w:ind w:firstLine="411"/>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2.中标单位已经充分知晓并且愿意遵守“特别告知事项”和“法律责任”；</w:t>
      </w:r>
    </w:p>
    <w:p w14:paraId="71C24A65">
      <w:pPr>
        <w:widowControl/>
        <w:spacing w:before="75" w:after="75" w:line="440" w:lineRule="exact"/>
        <w:ind w:firstLine="411"/>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3.合同履行地为合肥第四十二中学；</w:t>
      </w:r>
    </w:p>
    <w:p w14:paraId="45AD00FF">
      <w:pPr>
        <w:widowControl/>
        <w:spacing w:before="75" w:after="75" w:line="440" w:lineRule="exact"/>
        <w:ind w:firstLine="411"/>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4.对于质量、验收、付款、违约责任等事宜有清楚的规定。</w:t>
      </w:r>
    </w:p>
    <w:p w14:paraId="190C1DAA">
      <w:pPr>
        <w:outlineLvl w:val="0"/>
        <w:rPr>
          <w:rFonts w:hint="eastAsia" w:ascii="宋体" w:hAnsi="宋体" w:eastAsia="宋体" w:cs="宋体"/>
          <w:b/>
          <w:bCs/>
          <w:sz w:val="28"/>
          <w:szCs w:val="28"/>
        </w:rPr>
      </w:pPr>
      <w:r>
        <w:rPr>
          <w:rFonts w:hint="eastAsia" w:ascii="宋体" w:hAnsi="宋体" w:eastAsia="宋体" w:cs="宋体"/>
          <w:b/>
          <w:bCs/>
          <w:sz w:val="28"/>
          <w:szCs w:val="28"/>
        </w:rPr>
        <w:t>八、其他</w:t>
      </w:r>
    </w:p>
    <w:p w14:paraId="00DAD33C">
      <w:pPr>
        <w:widowControl/>
        <w:spacing w:before="75" w:after="75" w:line="440" w:lineRule="exact"/>
        <w:ind w:firstLine="411"/>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本</w:t>
      </w:r>
      <w:r>
        <w:rPr>
          <w:rFonts w:hint="eastAsia" w:cs="宋体" w:asciiTheme="minorEastAsia" w:hAnsiTheme="minorEastAsia"/>
          <w:kern w:val="0"/>
          <w:sz w:val="24"/>
          <w:szCs w:val="24"/>
          <w:lang w:eastAsia="zh-CN"/>
        </w:rPr>
        <w:t>招标</w:t>
      </w:r>
      <w:r>
        <w:rPr>
          <w:rFonts w:hint="eastAsia" w:cs="宋体" w:asciiTheme="minorEastAsia" w:hAnsiTheme="minorEastAsia"/>
          <w:kern w:val="0"/>
          <w:sz w:val="24"/>
          <w:szCs w:val="24"/>
        </w:rPr>
        <w:t>文件的最终解释权归合肥市第四十二中学湖畔分校。</w:t>
      </w:r>
    </w:p>
    <w:p w14:paraId="65E65B6B">
      <w:pPr>
        <w:rPr>
          <w:rFonts w:hint="eastAsia" w:cs="宋体" w:asciiTheme="minorEastAsia" w:hAnsiTheme="minorEastAsia"/>
          <w:color w:val="FF0000"/>
          <w:kern w:val="0"/>
          <w:sz w:val="24"/>
          <w:szCs w:val="24"/>
        </w:rPr>
      </w:pPr>
      <w:r>
        <w:rPr>
          <w:rFonts w:hint="eastAsia" w:cs="宋体" w:asciiTheme="minorEastAsia" w:hAnsiTheme="minorEastAsia"/>
          <w:color w:val="FF0000"/>
          <w:kern w:val="0"/>
          <w:sz w:val="24"/>
          <w:szCs w:val="24"/>
        </w:rPr>
        <w:br w:type="page"/>
      </w:r>
    </w:p>
    <w:p w14:paraId="514E01AC">
      <w:pPr>
        <w:numPr>
          <w:ilvl w:val="0"/>
          <w:numId w:val="1"/>
        </w:numPr>
        <w:outlineLvl w:val="0"/>
        <w:rPr>
          <w:rFonts w:hint="eastAsia" w:ascii="宋体" w:hAnsi="宋体" w:eastAsia="宋体" w:cs="宋体"/>
          <w:b/>
          <w:bCs/>
          <w:sz w:val="28"/>
          <w:szCs w:val="28"/>
        </w:rPr>
      </w:pPr>
      <w:r>
        <w:rPr>
          <w:rFonts w:hint="eastAsia" w:ascii="宋体" w:hAnsi="宋体" w:eastAsia="宋体" w:cs="宋体"/>
          <w:b/>
          <w:bCs/>
          <w:sz w:val="28"/>
          <w:szCs w:val="28"/>
        </w:rPr>
        <w:t>响应文件格式</w:t>
      </w:r>
    </w:p>
    <w:p w14:paraId="38A2F4B5">
      <w:pPr>
        <w:spacing w:line="500" w:lineRule="exact"/>
        <w:jc w:val="center"/>
        <w:rPr>
          <w:rFonts w:hint="eastAsia" w:ascii="宋体" w:hAnsi="宋体" w:cs="Arial"/>
          <w:szCs w:val="21"/>
        </w:rPr>
      </w:pPr>
    </w:p>
    <w:p w14:paraId="5E9299B2">
      <w:pPr>
        <w:spacing w:line="900" w:lineRule="exact"/>
        <w:jc w:val="center"/>
        <w:rPr>
          <w:rFonts w:hint="eastAsia" w:ascii="宋体" w:hAnsi="宋体" w:cs="Arial"/>
          <w:szCs w:val="21"/>
        </w:rPr>
      </w:pPr>
      <w:r>
        <w:rPr>
          <w:rFonts w:hint="eastAsia" w:asciiTheme="minorEastAsia" w:hAnsiTheme="minorEastAsia"/>
          <w:b/>
          <w:sz w:val="32"/>
        </w:rPr>
        <w:t>合肥市第四十二中学湖畔分校2024年学生体质健康测试服务采购</w:t>
      </w:r>
    </w:p>
    <w:p w14:paraId="391F289E">
      <w:pPr>
        <w:pStyle w:val="13"/>
      </w:pPr>
    </w:p>
    <w:p w14:paraId="7B65FEE6">
      <w:pPr>
        <w:spacing w:line="800" w:lineRule="exact"/>
        <w:jc w:val="center"/>
        <w:rPr>
          <w:rFonts w:hint="eastAsia" w:ascii="黑体" w:hAnsi="黑体" w:eastAsia="黑体" w:cs="Arial"/>
          <w:sz w:val="52"/>
          <w:szCs w:val="52"/>
        </w:rPr>
      </w:pPr>
      <w:r>
        <w:rPr>
          <w:rFonts w:hint="eastAsia" w:ascii="黑体" w:hAnsi="黑体" w:eastAsia="黑体" w:cs="Arial"/>
          <w:sz w:val="52"/>
          <w:szCs w:val="52"/>
        </w:rPr>
        <w:t>服</w:t>
      </w:r>
    </w:p>
    <w:p w14:paraId="12F0C507">
      <w:pPr>
        <w:spacing w:line="800" w:lineRule="exact"/>
        <w:jc w:val="center"/>
        <w:rPr>
          <w:rFonts w:hint="eastAsia" w:ascii="黑体" w:hAnsi="黑体" w:eastAsia="黑体" w:cs="Arial"/>
          <w:sz w:val="52"/>
          <w:szCs w:val="52"/>
        </w:rPr>
      </w:pPr>
      <w:r>
        <w:rPr>
          <w:rFonts w:hint="eastAsia" w:ascii="黑体" w:hAnsi="黑体" w:eastAsia="黑体" w:cs="Arial"/>
          <w:sz w:val="52"/>
          <w:szCs w:val="52"/>
        </w:rPr>
        <w:t>务</w:t>
      </w:r>
    </w:p>
    <w:p w14:paraId="39C3609B">
      <w:pPr>
        <w:spacing w:line="800" w:lineRule="exact"/>
        <w:jc w:val="center"/>
        <w:rPr>
          <w:rFonts w:hint="eastAsia" w:ascii="黑体" w:hAnsi="黑体" w:eastAsia="黑体" w:cs="Arial"/>
          <w:sz w:val="52"/>
          <w:szCs w:val="52"/>
        </w:rPr>
      </w:pPr>
      <w:r>
        <w:rPr>
          <w:rFonts w:hint="eastAsia" w:ascii="黑体" w:hAnsi="黑体" w:eastAsia="黑体" w:cs="Arial"/>
          <w:sz w:val="52"/>
          <w:szCs w:val="52"/>
        </w:rPr>
        <w:t>响</w:t>
      </w:r>
    </w:p>
    <w:p w14:paraId="175DE397">
      <w:pPr>
        <w:spacing w:line="800" w:lineRule="exact"/>
        <w:jc w:val="center"/>
        <w:rPr>
          <w:rFonts w:hint="eastAsia" w:ascii="黑体" w:hAnsi="黑体" w:eastAsia="黑体" w:cs="Arial"/>
          <w:sz w:val="52"/>
          <w:szCs w:val="52"/>
        </w:rPr>
      </w:pPr>
      <w:r>
        <w:rPr>
          <w:rFonts w:hint="eastAsia" w:ascii="黑体" w:hAnsi="黑体" w:eastAsia="黑体" w:cs="Arial"/>
          <w:sz w:val="52"/>
          <w:szCs w:val="52"/>
        </w:rPr>
        <w:t>应</w:t>
      </w:r>
    </w:p>
    <w:p w14:paraId="07F0E410">
      <w:pPr>
        <w:spacing w:line="800" w:lineRule="exact"/>
        <w:jc w:val="center"/>
        <w:rPr>
          <w:rFonts w:hint="eastAsia" w:ascii="黑体" w:hAnsi="黑体" w:eastAsia="黑体" w:cs="Arial"/>
          <w:sz w:val="52"/>
          <w:szCs w:val="52"/>
        </w:rPr>
      </w:pPr>
      <w:r>
        <w:rPr>
          <w:rFonts w:hint="eastAsia" w:ascii="黑体" w:hAnsi="黑体" w:eastAsia="黑体" w:cs="Arial"/>
          <w:sz w:val="52"/>
          <w:szCs w:val="52"/>
        </w:rPr>
        <w:t>文</w:t>
      </w:r>
    </w:p>
    <w:p w14:paraId="3F69E2E0">
      <w:pPr>
        <w:spacing w:line="800" w:lineRule="exact"/>
        <w:jc w:val="center"/>
        <w:rPr>
          <w:rFonts w:hint="eastAsia" w:ascii="宋体" w:hAnsi="宋体" w:cs="Arial"/>
          <w:sz w:val="52"/>
          <w:szCs w:val="52"/>
        </w:rPr>
      </w:pPr>
      <w:r>
        <w:rPr>
          <w:rFonts w:hint="eastAsia" w:ascii="黑体" w:hAnsi="黑体" w:eastAsia="黑体" w:cs="Arial"/>
          <w:sz w:val="52"/>
          <w:szCs w:val="52"/>
        </w:rPr>
        <w:t>件</w:t>
      </w:r>
    </w:p>
    <w:p w14:paraId="5C317388">
      <w:pPr>
        <w:spacing w:line="500" w:lineRule="exact"/>
        <w:jc w:val="center"/>
        <w:rPr>
          <w:rFonts w:hint="eastAsia" w:ascii="宋体" w:hAnsi="宋体" w:cs="Arial"/>
          <w:szCs w:val="21"/>
        </w:rPr>
      </w:pPr>
    </w:p>
    <w:p w14:paraId="7029FF2C">
      <w:pPr>
        <w:spacing w:line="500" w:lineRule="exact"/>
        <w:jc w:val="center"/>
        <w:rPr>
          <w:rFonts w:hint="eastAsia" w:ascii="宋体" w:hAnsi="宋体" w:cs="Arial"/>
          <w:szCs w:val="21"/>
        </w:rPr>
      </w:pPr>
    </w:p>
    <w:p w14:paraId="162F21DD">
      <w:pPr>
        <w:pStyle w:val="13"/>
      </w:pPr>
    </w:p>
    <w:p w14:paraId="2932DDE6">
      <w:pPr>
        <w:spacing w:line="500" w:lineRule="exact"/>
        <w:jc w:val="center"/>
        <w:rPr>
          <w:rFonts w:hint="eastAsia" w:ascii="宋体" w:hAnsi="宋体" w:cs="Arial"/>
          <w:szCs w:val="21"/>
        </w:rPr>
      </w:pPr>
    </w:p>
    <w:p w14:paraId="1F778664">
      <w:pPr>
        <w:spacing w:line="500" w:lineRule="exact"/>
        <w:ind w:firstLine="1280" w:firstLineChars="400"/>
        <w:rPr>
          <w:rFonts w:hint="eastAsia" w:ascii="宋体" w:hAnsi="宋体" w:cs="Arial"/>
          <w:sz w:val="32"/>
          <w:szCs w:val="32"/>
        </w:rPr>
      </w:pPr>
      <w:r>
        <w:rPr>
          <w:rFonts w:hint="eastAsia" w:ascii="宋体" w:hAnsi="宋体" w:cs="Arial"/>
          <w:sz w:val="32"/>
          <w:szCs w:val="32"/>
        </w:rPr>
        <w:t>供 应 商：                  （签章）</w:t>
      </w:r>
    </w:p>
    <w:p w14:paraId="476B68E5">
      <w:pPr>
        <w:spacing w:line="500" w:lineRule="exact"/>
        <w:jc w:val="center"/>
        <w:rPr>
          <w:rFonts w:hint="eastAsia" w:ascii="宋体" w:hAnsi="宋体" w:cs="Arial"/>
          <w:sz w:val="32"/>
          <w:szCs w:val="32"/>
        </w:rPr>
      </w:pPr>
      <w:r>
        <w:rPr>
          <w:rFonts w:hint="eastAsia" w:ascii="宋体" w:hAnsi="宋体" w:cs="Arial"/>
          <w:sz w:val="32"/>
          <w:szCs w:val="32"/>
        </w:rPr>
        <w:t>年      月      日</w:t>
      </w:r>
    </w:p>
    <w:p w14:paraId="7EA3E65D">
      <w:pPr>
        <w:widowControl/>
        <w:spacing w:before="75" w:after="75" w:line="440" w:lineRule="exact"/>
        <w:ind w:firstLine="480" w:firstLineChars="200"/>
        <w:jc w:val="left"/>
        <w:rPr>
          <w:sz w:val="24"/>
          <w:szCs w:val="24"/>
        </w:rPr>
      </w:pPr>
    </w:p>
    <w:p w14:paraId="70C9816E">
      <w:pPr>
        <w:rPr>
          <w:b/>
          <w:bCs/>
          <w:sz w:val="24"/>
          <w:szCs w:val="24"/>
        </w:rPr>
      </w:pPr>
      <w:bookmarkStart w:id="15" w:name="_Toc30604"/>
      <w:bookmarkStart w:id="16" w:name="_Toc26866"/>
      <w:bookmarkStart w:id="17" w:name="_Toc2083"/>
      <w:bookmarkStart w:id="18" w:name="_Toc2882"/>
      <w:bookmarkStart w:id="19" w:name="_Toc9735"/>
      <w:r>
        <w:rPr>
          <w:rFonts w:hint="eastAsia"/>
          <w:b/>
          <w:bCs/>
          <w:sz w:val="24"/>
          <w:szCs w:val="24"/>
        </w:rPr>
        <w:br w:type="page"/>
      </w:r>
    </w:p>
    <w:p w14:paraId="7D775EB4">
      <w:pPr>
        <w:pStyle w:val="10"/>
        <w:rPr>
          <w:sz w:val="32"/>
        </w:rPr>
      </w:pPr>
      <w:r>
        <w:rPr>
          <w:rFonts w:hint="eastAsia"/>
          <w:sz w:val="32"/>
        </w:rPr>
        <w:t>一、</w:t>
      </w:r>
      <w:bookmarkEnd w:id="15"/>
      <w:bookmarkEnd w:id="16"/>
      <w:bookmarkEnd w:id="17"/>
      <w:bookmarkEnd w:id="18"/>
      <w:bookmarkEnd w:id="19"/>
      <w:r>
        <w:rPr>
          <w:sz w:val="32"/>
        </w:rPr>
        <w:t>投标函</w:t>
      </w:r>
    </w:p>
    <w:p w14:paraId="6779286F">
      <w:pPr>
        <w:spacing w:line="560" w:lineRule="exact"/>
        <w:rPr>
          <w:sz w:val="24"/>
          <w:szCs w:val="24"/>
        </w:rPr>
      </w:pPr>
      <w:r>
        <w:rPr>
          <w:sz w:val="24"/>
          <w:szCs w:val="24"/>
        </w:rPr>
        <w:t xml:space="preserve">致：合肥市第四十二中学湖畔分校 </w:t>
      </w:r>
    </w:p>
    <w:p w14:paraId="2E110CB5">
      <w:pPr>
        <w:spacing w:after="160" w:line="440" w:lineRule="exact"/>
        <w:ind w:firstLine="480" w:firstLineChars="200"/>
        <w:rPr>
          <w:sz w:val="24"/>
          <w:szCs w:val="24"/>
        </w:rPr>
      </w:pPr>
      <w:r>
        <w:rPr>
          <w:sz w:val="24"/>
          <w:szCs w:val="24"/>
        </w:rPr>
        <w:t>根据贵方所发“合肥市第四十二中学湖畔分校</w:t>
      </w:r>
      <w:r>
        <w:rPr>
          <w:rFonts w:hint="eastAsia"/>
          <w:sz w:val="24"/>
          <w:szCs w:val="24"/>
        </w:rPr>
        <w:t>2024</w:t>
      </w:r>
      <w:r>
        <w:rPr>
          <w:sz w:val="24"/>
          <w:szCs w:val="24"/>
        </w:rPr>
        <w:t>年学生</w:t>
      </w:r>
      <w:r>
        <w:rPr>
          <w:rFonts w:hint="eastAsia"/>
          <w:sz w:val="24"/>
          <w:szCs w:val="24"/>
        </w:rPr>
        <w:t>体质健康测试服务采购</w:t>
      </w:r>
      <w:r>
        <w:rPr>
          <w:rFonts w:hint="eastAsia"/>
          <w:sz w:val="24"/>
          <w:szCs w:val="24"/>
          <w:lang w:eastAsia="zh-CN"/>
        </w:rPr>
        <w:t>招标</w:t>
      </w:r>
      <w:r>
        <w:rPr>
          <w:sz w:val="24"/>
          <w:szCs w:val="24"/>
        </w:rPr>
        <w:t xml:space="preserve">公告”，提交投标文件正本壹份、副本贰份。 </w:t>
      </w:r>
    </w:p>
    <w:p w14:paraId="5F21422F">
      <w:pPr>
        <w:spacing w:after="160" w:line="440" w:lineRule="exact"/>
        <w:ind w:firstLine="480" w:firstLineChars="200"/>
        <w:rPr>
          <w:sz w:val="24"/>
          <w:szCs w:val="24"/>
        </w:rPr>
      </w:pPr>
      <w:r>
        <w:rPr>
          <w:sz w:val="24"/>
          <w:szCs w:val="24"/>
        </w:rPr>
        <w:t>据此函，</w:t>
      </w:r>
      <w:r>
        <w:rPr>
          <w:rFonts w:hint="eastAsia"/>
          <w:sz w:val="24"/>
          <w:szCs w:val="24"/>
        </w:rPr>
        <w:t>我方</w:t>
      </w:r>
      <w:r>
        <w:rPr>
          <w:sz w:val="24"/>
          <w:szCs w:val="24"/>
        </w:rPr>
        <w:t xml:space="preserve">兹宣布同意如下： </w:t>
      </w:r>
    </w:p>
    <w:p w14:paraId="19F4FB63">
      <w:pPr>
        <w:spacing w:after="160" w:line="440" w:lineRule="exact"/>
        <w:ind w:firstLine="480" w:firstLineChars="200"/>
        <w:rPr>
          <w:sz w:val="24"/>
          <w:szCs w:val="24"/>
        </w:rPr>
      </w:pPr>
      <w:r>
        <w:rPr>
          <w:sz w:val="24"/>
          <w:szCs w:val="24"/>
        </w:rPr>
        <w:t xml:space="preserve">1.按招标文件规定及报价承诺完成但不限于测试、上报、分析等相关服务； </w:t>
      </w:r>
    </w:p>
    <w:p w14:paraId="665CD789">
      <w:pPr>
        <w:spacing w:after="160" w:line="440" w:lineRule="exact"/>
        <w:ind w:firstLine="480" w:firstLineChars="200"/>
        <w:rPr>
          <w:sz w:val="24"/>
          <w:szCs w:val="24"/>
        </w:rPr>
      </w:pPr>
      <w:r>
        <w:rPr>
          <w:sz w:val="24"/>
          <w:szCs w:val="24"/>
        </w:rPr>
        <w:t>2.我</w:t>
      </w:r>
      <w:r>
        <w:rPr>
          <w:rFonts w:hint="eastAsia"/>
          <w:sz w:val="24"/>
          <w:szCs w:val="24"/>
        </w:rPr>
        <w:t>方</w:t>
      </w:r>
      <w:r>
        <w:rPr>
          <w:sz w:val="24"/>
          <w:szCs w:val="24"/>
        </w:rPr>
        <w:t>根据招标文件的规定，严格履行合同的责任和义务, 并保证于</w:t>
      </w:r>
      <w:r>
        <w:rPr>
          <w:rFonts w:hint="eastAsia"/>
          <w:sz w:val="24"/>
          <w:szCs w:val="24"/>
        </w:rPr>
        <w:t>采购人</w:t>
      </w:r>
      <w:r>
        <w:rPr>
          <w:sz w:val="24"/>
          <w:szCs w:val="24"/>
        </w:rPr>
        <w:t xml:space="preserve">要求的日期内完成合同内容； </w:t>
      </w:r>
    </w:p>
    <w:p w14:paraId="12C5830E">
      <w:pPr>
        <w:spacing w:after="160" w:line="440" w:lineRule="exact"/>
        <w:ind w:firstLine="480" w:firstLineChars="200"/>
        <w:rPr>
          <w:sz w:val="24"/>
          <w:szCs w:val="24"/>
        </w:rPr>
      </w:pPr>
      <w:r>
        <w:rPr>
          <w:sz w:val="24"/>
          <w:szCs w:val="24"/>
        </w:rPr>
        <w:t>3.我</w:t>
      </w:r>
      <w:r>
        <w:rPr>
          <w:rFonts w:hint="eastAsia"/>
          <w:sz w:val="24"/>
          <w:szCs w:val="24"/>
        </w:rPr>
        <w:t>方</w:t>
      </w:r>
      <w:r>
        <w:rPr>
          <w:sz w:val="24"/>
          <w:szCs w:val="24"/>
        </w:rPr>
        <w:t>已详细审核全部招标文件，包括招标文件附件、参考资料（如有），我方知道</w:t>
      </w:r>
      <w:r>
        <w:rPr>
          <w:rFonts w:hint="eastAsia" w:cs="宋体" w:asciiTheme="minorEastAsia" w:hAnsiTheme="minorEastAsia"/>
          <w:kern w:val="0"/>
          <w:sz w:val="24"/>
          <w:szCs w:val="24"/>
          <w:shd w:val="clear" w:color="auto" w:fill="FFFFFF"/>
        </w:rPr>
        <w:t>贵方不对未中标原因做任何解释</w:t>
      </w:r>
      <w:r>
        <w:rPr>
          <w:sz w:val="24"/>
          <w:szCs w:val="24"/>
        </w:rPr>
        <w:t xml:space="preserve">； </w:t>
      </w:r>
    </w:p>
    <w:p w14:paraId="3E417339">
      <w:pPr>
        <w:spacing w:after="160" w:line="440" w:lineRule="exact"/>
        <w:ind w:firstLine="480" w:firstLineChars="200"/>
        <w:rPr>
          <w:sz w:val="24"/>
          <w:szCs w:val="24"/>
        </w:rPr>
      </w:pPr>
      <w:r>
        <w:rPr>
          <w:sz w:val="24"/>
          <w:szCs w:val="24"/>
        </w:rPr>
        <w:t>4.我</w:t>
      </w:r>
      <w:r>
        <w:rPr>
          <w:rFonts w:hint="eastAsia"/>
          <w:sz w:val="24"/>
          <w:szCs w:val="24"/>
        </w:rPr>
        <w:t>方</w:t>
      </w:r>
      <w:r>
        <w:rPr>
          <w:sz w:val="24"/>
          <w:szCs w:val="24"/>
        </w:rPr>
        <w:t xml:space="preserve">同意从投标人须知规定的招标日期起遵循本投标书，并在投标人须知规定的招标有效期之前均具有约束力； </w:t>
      </w:r>
    </w:p>
    <w:p w14:paraId="6FEE21F4">
      <w:pPr>
        <w:spacing w:after="160" w:line="440" w:lineRule="exact"/>
        <w:ind w:firstLine="480" w:firstLineChars="200"/>
        <w:rPr>
          <w:sz w:val="24"/>
          <w:szCs w:val="24"/>
        </w:rPr>
      </w:pPr>
      <w:r>
        <w:rPr>
          <w:sz w:val="24"/>
          <w:szCs w:val="24"/>
        </w:rPr>
        <w:t xml:space="preserve">5.同意按贵方要求在规定时间内向贵方提供与其投标有关的任何证据或补充资料，否则，我方的投标文件可被贵方拒绝； </w:t>
      </w:r>
    </w:p>
    <w:p w14:paraId="1D997C16">
      <w:pPr>
        <w:spacing w:after="160" w:line="440" w:lineRule="exact"/>
        <w:ind w:firstLine="480" w:firstLineChars="200"/>
        <w:rPr>
          <w:sz w:val="24"/>
          <w:szCs w:val="24"/>
        </w:rPr>
      </w:pPr>
      <w:r>
        <w:rPr>
          <w:sz w:val="24"/>
          <w:szCs w:val="24"/>
        </w:rPr>
        <w:t xml:space="preserve">6.我方对投标文件中所提供资料、文件、证书及证件的真实性和有效性负责； </w:t>
      </w:r>
    </w:p>
    <w:p w14:paraId="243A27F1">
      <w:pPr>
        <w:spacing w:after="160" w:line="440" w:lineRule="exact"/>
        <w:ind w:firstLine="480" w:firstLineChars="200"/>
        <w:rPr>
          <w:sz w:val="24"/>
          <w:szCs w:val="24"/>
        </w:rPr>
      </w:pPr>
      <w:r>
        <w:rPr>
          <w:sz w:val="24"/>
          <w:szCs w:val="24"/>
        </w:rPr>
        <w:t xml:space="preserve">7.我方完全理解贵方不一定接受最低报价的投标。 </w:t>
      </w:r>
    </w:p>
    <w:p w14:paraId="661B1B1F">
      <w:pPr>
        <w:spacing w:after="160" w:line="440" w:lineRule="exact"/>
        <w:ind w:firstLine="480" w:firstLineChars="200"/>
        <w:rPr>
          <w:sz w:val="24"/>
          <w:szCs w:val="24"/>
          <w:u w:val="single"/>
        </w:rPr>
      </w:pPr>
      <w:r>
        <w:rPr>
          <w:sz w:val="24"/>
          <w:szCs w:val="24"/>
        </w:rPr>
        <w:t>8.与本投标有关的通讯地址：</w:t>
      </w:r>
    </w:p>
    <w:p w14:paraId="38EC548C">
      <w:pPr>
        <w:spacing w:after="160" w:line="440" w:lineRule="exact"/>
        <w:ind w:firstLine="3360" w:firstLineChars="1400"/>
        <w:rPr>
          <w:sz w:val="24"/>
          <w:szCs w:val="24"/>
        </w:rPr>
      </w:pPr>
    </w:p>
    <w:p w14:paraId="5D7441FE">
      <w:pPr>
        <w:spacing w:after="160" w:line="440" w:lineRule="exact"/>
        <w:ind w:firstLine="5040" w:firstLineChars="2100"/>
        <w:rPr>
          <w:sz w:val="24"/>
          <w:szCs w:val="24"/>
          <w:u w:val="single"/>
        </w:rPr>
      </w:pPr>
      <w:r>
        <w:rPr>
          <w:sz w:val="24"/>
          <w:szCs w:val="24"/>
        </w:rPr>
        <w:t xml:space="preserve">电话： </w:t>
      </w:r>
    </w:p>
    <w:p w14:paraId="5014A3E2">
      <w:pPr>
        <w:spacing w:line="560" w:lineRule="exact"/>
        <w:ind w:firstLine="5040" w:firstLineChars="2100"/>
        <w:rPr>
          <w:sz w:val="24"/>
          <w:szCs w:val="24"/>
        </w:rPr>
      </w:pPr>
      <w:r>
        <w:rPr>
          <w:sz w:val="24"/>
          <w:szCs w:val="24"/>
        </w:rPr>
        <w:t xml:space="preserve">法定代表人（签字）：（单位公章） </w:t>
      </w:r>
    </w:p>
    <w:p w14:paraId="42E0038C">
      <w:pPr>
        <w:spacing w:line="560" w:lineRule="exact"/>
        <w:ind w:firstLine="5040" w:firstLineChars="2100"/>
        <w:rPr>
          <w:sz w:val="24"/>
          <w:szCs w:val="24"/>
        </w:rPr>
      </w:pPr>
      <w:r>
        <w:rPr>
          <w:sz w:val="24"/>
          <w:szCs w:val="24"/>
        </w:rPr>
        <w:t>日期：</w:t>
      </w:r>
      <w:r>
        <w:rPr>
          <w:rFonts w:hint="eastAsia"/>
          <w:sz w:val="24"/>
          <w:szCs w:val="24"/>
        </w:rPr>
        <w:t xml:space="preserve">    </w:t>
      </w:r>
      <w:r>
        <w:rPr>
          <w:sz w:val="24"/>
          <w:szCs w:val="24"/>
        </w:rPr>
        <w:t>年</w:t>
      </w:r>
      <w:r>
        <w:rPr>
          <w:rFonts w:hint="eastAsia"/>
          <w:sz w:val="24"/>
          <w:szCs w:val="24"/>
        </w:rPr>
        <w:t xml:space="preserve">   月   日</w:t>
      </w:r>
    </w:p>
    <w:p w14:paraId="26F4E1A9">
      <w:pPr>
        <w:rPr>
          <w:sz w:val="24"/>
          <w:szCs w:val="24"/>
        </w:rPr>
      </w:pPr>
      <w:r>
        <w:rPr>
          <w:rFonts w:hint="eastAsia"/>
          <w:sz w:val="24"/>
          <w:szCs w:val="24"/>
        </w:rPr>
        <w:br w:type="page"/>
      </w:r>
    </w:p>
    <w:p w14:paraId="667F2412">
      <w:pPr>
        <w:pStyle w:val="10"/>
        <w:rPr>
          <w:rFonts w:hint="default" w:eastAsiaTheme="minorEastAsia"/>
          <w:sz w:val="32"/>
          <w:lang w:val="en-US" w:eastAsia="zh-CN"/>
        </w:rPr>
      </w:pPr>
      <w:bookmarkStart w:id="20" w:name="_Toc482280435"/>
      <w:bookmarkStart w:id="21" w:name="_Toc10113"/>
      <w:bookmarkStart w:id="22" w:name="_Toc4913"/>
      <w:bookmarkStart w:id="23" w:name="_Toc31037"/>
      <w:bookmarkStart w:id="24" w:name="_Toc18923"/>
      <w:bookmarkStart w:id="25" w:name="_Toc2458"/>
      <w:r>
        <w:rPr>
          <w:rFonts w:hint="eastAsia"/>
          <w:sz w:val="32"/>
        </w:rPr>
        <w:t>二、</w:t>
      </w:r>
      <w:r>
        <w:rPr>
          <w:rFonts w:hint="eastAsia"/>
          <w:sz w:val="32"/>
          <w:lang w:val="en-US" w:eastAsia="zh-CN"/>
        </w:rPr>
        <w:t>营业执照副本、法人身份证复印件</w:t>
      </w:r>
    </w:p>
    <w:p w14:paraId="1F00E54F">
      <w:pPr>
        <w:pStyle w:val="10"/>
        <w:outlineLvl w:val="9"/>
        <w:rPr>
          <w:rFonts w:hint="eastAsia"/>
          <w:sz w:val="32"/>
        </w:rPr>
      </w:pPr>
    </w:p>
    <w:p w14:paraId="1E7E3CA7">
      <w:pPr>
        <w:rPr>
          <w:rFonts w:hint="eastAsia"/>
          <w:sz w:val="32"/>
        </w:rPr>
      </w:pPr>
    </w:p>
    <w:p w14:paraId="5B7FF8A7">
      <w:pPr>
        <w:rPr>
          <w:rFonts w:hint="eastAsia"/>
          <w:sz w:val="32"/>
        </w:rPr>
      </w:pPr>
    </w:p>
    <w:p w14:paraId="446DDA03">
      <w:pPr>
        <w:rPr>
          <w:rFonts w:hint="eastAsia"/>
          <w:sz w:val="32"/>
        </w:rPr>
      </w:pPr>
    </w:p>
    <w:p w14:paraId="6A0BB2C5">
      <w:pPr>
        <w:rPr>
          <w:rFonts w:hint="eastAsia"/>
          <w:sz w:val="32"/>
        </w:rPr>
      </w:pPr>
    </w:p>
    <w:p w14:paraId="54AFB086">
      <w:pPr>
        <w:rPr>
          <w:rFonts w:hint="eastAsia"/>
          <w:sz w:val="32"/>
        </w:rPr>
      </w:pPr>
    </w:p>
    <w:p w14:paraId="4143569D">
      <w:pPr>
        <w:rPr>
          <w:rFonts w:hint="eastAsia"/>
          <w:sz w:val="32"/>
        </w:rPr>
      </w:pPr>
    </w:p>
    <w:p w14:paraId="4DB4F840">
      <w:pPr>
        <w:rPr>
          <w:rFonts w:hint="eastAsia"/>
          <w:sz w:val="32"/>
        </w:rPr>
      </w:pPr>
    </w:p>
    <w:p w14:paraId="78E8F0F2">
      <w:pPr>
        <w:rPr>
          <w:rFonts w:hint="eastAsia"/>
          <w:sz w:val="32"/>
        </w:rPr>
      </w:pPr>
    </w:p>
    <w:p w14:paraId="1A7A4249">
      <w:pPr>
        <w:rPr>
          <w:rFonts w:hint="eastAsia"/>
          <w:sz w:val="32"/>
        </w:rPr>
      </w:pPr>
    </w:p>
    <w:p w14:paraId="0D46B79C">
      <w:pPr>
        <w:rPr>
          <w:rFonts w:hint="eastAsia"/>
          <w:sz w:val="32"/>
        </w:rPr>
      </w:pPr>
    </w:p>
    <w:p w14:paraId="6FE06A04">
      <w:pPr>
        <w:rPr>
          <w:rFonts w:hint="eastAsia"/>
          <w:sz w:val="32"/>
        </w:rPr>
      </w:pPr>
    </w:p>
    <w:p w14:paraId="632EAB78">
      <w:pPr>
        <w:rPr>
          <w:rFonts w:hint="eastAsia"/>
          <w:sz w:val="32"/>
        </w:rPr>
      </w:pPr>
    </w:p>
    <w:p w14:paraId="3B53A165">
      <w:pPr>
        <w:rPr>
          <w:rFonts w:hint="eastAsia"/>
          <w:sz w:val="32"/>
        </w:rPr>
      </w:pPr>
    </w:p>
    <w:p w14:paraId="3300E748">
      <w:pPr>
        <w:rPr>
          <w:rFonts w:hint="eastAsia"/>
          <w:sz w:val="32"/>
        </w:rPr>
      </w:pPr>
    </w:p>
    <w:p w14:paraId="41F4C33B">
      <w:pPr>
        <w:rPr>
          <w:rFonts w:hint="eastAsia"/>
          <w:sz w:val="32"/>
        </w:rPr>
      </w:pPr>
    </w:p>
    <w:p w14:paraId="1621A9AC">
      <w:pPr>
        <w:rPr>
          <w:rFonts w:hint="eastAsia"/>
          <w:sz w:val="32"/>
        </w:rPr>
      </w:pPr>
    </w:p>
    <w:p w14:paraId="0223D543">
      <w:pPr>
        <w:rPr>
          <w:rFonts w:hint="eastAsia"/>
          <w:sz w:val="32"/>
        </w:rPr>
      </w:pPr>
    </w:p>
    <w:p w14:paraId="366FFA54">
      <w:pPr>
        <w:rPr>
          <w:rFonts w:hint="eastAsia"/>
          <w:sz w:val="32"/>
        </w:rPr>
      </w:pPr>
    </w:p>
    <w:p w14:paraId="37C171D6">
      <w:pPr>
        <w:rPr>
          <w:rFonts w:hint="eastAsia"/>
          <w:sz w:val="32"/>
        </w:rPr>
      </w:pPr>
    </w:p>
    <w:p w14:paraId="1B81D508">
      <w:pPr>
        <w:pStyle w:val="10"/>
        <w:rPr>
          <w:sz w:val="32"/>
        </w:rPr>
      </w:pPr>
      <w:r>
        <w:rPr>
          <w:rFonts w:hint="eastAsia"/>
          <w:sz w:val="32"/>
          <w:lang w:val="en-US" w:eastAsia="zh-CN"/>
        </w:rPr>
        <w:t>三</w:t>
      </w:r>
      <w:r>
        <w:rPr>
          <w:rFonts w:hint="eastAsia"/>
          <w:sz w:val="32"/>
        </w:rPr>
        <w:t>、授权书</w:t>
      </w:r>
    </w:p>
    <w:p w14:paraId="5ED65611"/>
    <w:p w14:paraId="5FB0B2ED">
      <w:pPr>
        <w:pStyle w:val="6"/>
        <w:snapToGrid w:val="0"/>
        <w:spacing w:line="360" w:lineRule="auto"/>
        <w:ind w:firstLine="480" w:firstLineChars="200"/>
        <w:jc w:val="left"/>
        <w:rPr>
          <w:rFonts w:hint="eastAsia"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（供应商授权代表姓名、职务）代表我方参加本项目</w:t>
      </w:r>
      <w:r>
        <w:rPr>
          <w:rFonts w:hint="eastAsia" w:hAnsi="宋体" w:eastAsia="宋体"/>
          <w:bCs/>
          <w:sz w:val="24"/>
          <w:szCs w:val="28"/>
        </w:rPr>
        <w:t>采购活动</w:t>
      </w:r>
      <w:r>
        <w:rPr>
          <w:rFonts w:hint="eastAsia" w:hAnsi="宋体" w:eastAsia="宋体"/>
          <w:sz w:val="24"/>
          <w:szCs w:val="28"/>
        </w:rPr>
        <w:t>，全权代表我方处理投标过程的一切事宜，包括但不限于：提交投标文件、参与投标、签约等。供应商授权代表在采购活动过程中所签署的一切文件和处理与之有关的一切事务，本公司均予以认可并对此承担责任。供应商授权代表无转委托权。特此授权。</w:t>
      </w:r>
    </w:p>
    <w:p w14:paraId="18CD0564">
      <w:pPr>
        <w:pStyle w:val="6"/>
        <w:snapToGrid w:val="0"/>
        <w:spacing w:line="360" w:lineRule="auto"/>
        <w:ind w:firstLine="480" w:firstLineChars="200"/>
        <w:jc w:val="left"/>
        <w:rPr>
          <w:rFonts w:hint="eastAsia" w:hAnsi="宋体" w:eastAsia="宋体"/>
          <w:sz w:val="24"/>
          <w:szCs w:val="28"/>
        </w:rPr>
      </w:pPr>
      <w:r>
        <w:rPr>
          <w:rFonts w:hint="eastAsia" w:hAnsi="宋体" w:eastAsia="宋体"/>
          <w:sz w:val="24"/>
          <w:szCs w:val="28"/>
        </w:rPr>
        <w:t>本授权书自出具之日起生效。</w:t>
      </w:r>
    </w:p>
    <w:p w14:paraId="0C549843">
      <w:pPr>
        <w:pStyle w:val="6"/>
        <w:snapToGrid w:val="0"/>
        <w:spacing w:line="360" w:lineRule="auto"/>
        <w:ind w:firstLine="480" w:firstLineChars="200"/>
        <w:jc w:val="left"/>
        <w:rPr>
          <w:rFonts w:hint="eastAsia" w:hAnsi="宋体" w:eastAsia="宋体"/>
          <w:sz w:val="24"/>
        </w:rPr>
      </w:pPr>
      <w:r>
        <w:rPr>
          <w:rFonts w:hint="eastAsia" w:hAnsi="宋体" w:eastAsia="宋体"/>
          <w:sz w:val="24"/>
          <w:szCs w:val="28"/>
        </w:rPr>
        <w:t>授权代表</w:t>
      </w:r>
      <w:r>
        <w:rPr>
          <w:rFonts w:hint="eastAsia" w:hAnsi="宋体" w:eastAsia="宋体"/>
          <w:sz w:val="24"/>
        </w:rPr>
        <w:t>身份证明扫描件或影印件：</w:t>
      </w:r>
    </w:p>
    <w:p w14:paraId="2461E808">
      <w:pPr>
        <w:pStyle w:val="6"/>
        <w:snapToGrid w:val="0"/>
        <w:spacing w:line="360" w:lineRule="auto"/>
        <w:ind w:firstLine="480" w:firstLineChars="200"/>
        <w:jc w:val="left"/>
        <w:rPr>
          <w:rFonts w:hint="eastAsia" w:hAnsi="宋体" w:eastAsia="宋体"/>
          <w:sz w:val="24"/>
          <w:lang w:eastAsia="zh-CN"/>
        </w:rPr>
      </w:pPr>
    </w:p>
    <w:p w14:paraId="5B0F3C64">
      <w:pPr>
        <w:pStyle w:val="6"/>
        <w:snapToGrid w:val="0"/>
        <w:spacing w:line="360" w:lineRule="auto"/>
        <w:ind w:firstLine="480" w:firstLineChars="200"/>
        <w:jc w:val="left"/>
        <w:rPr>
          <w:rFonts w:hint="eastAsia" w:hAnsi="宋体" w:eastAsia="宋体"/>
          <w:sz w:val="24"/>
        </w:rPr>
      </w:pPr>
    </w:p>
    <w:p w14:paraId="4E5B6A0B">
      <w:pPr>
        <w:pStyle w:val="6"/>
        <w:snapToGrid w:val="0"/>
        <w:spacing w:line="360" w:lineRule="auto"/>
        <w:ind w:firstLine="480" w:firstLineChars="200"/>
        <w:jc w:val="left"/>
        <w:rPr>
          <w:rFonts w:hint="eastAsia"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353A496F">
      <w:pPr>
        <w:pStyle w:val="6"/>
        <w:snapToGrid w:val="0"/>
        <w:spacing w:line="360" w:lineRule="auto"/>
        <w:ind w:firstLine="480" w:firstLineChars="200"/>
        <w:jc w:val="left"/>
        <w:rPr>
          <w:rFonts w:hint="eastAsia" w:ascii="宋体" w:hAnsi="宋体" w:eastAsia="宋体"/>
          <w:sz w:val="24"/>
          <w:szCs w:val="28"/>
        </w:rPr>
      </w:pPr>
      <w:r>
        <w:rPr>
          <w:rFonts w:hint="eastAsia" w:ascii="宋体" w:hAnsi="宋体" w:eastAsia="宋体"/>
          <w:sz w:val="24"/>
          <w:szCs w:val="28"/>
        </w:rPr>
        <w:t>特此声明。</w:t>
      </w:r>
    </w:p>
    <w:p w14:paraId="181FECB6">
      <w:pPr>
        <w:spacing w:line="360" w:lineRule="auto"/>
        <w:rPr>
          <w:rFonts w:hint="eastAsia" w:ascii="宋体" w:hAnsi="宋体" w:eastAsia="宋体"/>
          <w:sz w:val="24"/>
          <w:szCs w:val="28"/>
        </w:rPr>
      </w:pPr>
    </w:p>
    <w:p w14:paraId="1BC8BD3D">
      <w:pPr>
        <w:spacing w:line="360" w:lineRule="auto"/>
        <w:ind w:firstLine="3600" w:firstLineChars="1500"/>
        <w:rPr>
          <w:rFonts w:hint="eastAsia" w:ascii="宋体" w:hAnsi="宋体" w:eastAsia="宋体"/>
          <w:bCs/>
          <w:sz w:val="24"/>
          <w:szCs w:val="28"/>
        </w:rPr>
      </w:pPr>
      <w:r>
        <w:rPr>
          <w:rFonts w:hint="eastAsia" w:ascii="宋体" w:hAnsi="宋体" w:eastAsia="宋体"/>
          <w:bCs/>
          <w:sz w:val="24"/>
          <w:szCs w:val="28"/>
        </w:rPr>
        <w:t>供应商</w:t>
      </w:r>
      <w:r>
        <w:rPr>
          <w:rFonts w:hint="eastAsia" w:ascii="宋体" w:hAnsi="宋体" w:eastAsia="宋体" w:cs="宋体"/>
          <w:sz w:val="24"/>
          <w:szCs w:val="24"/>
        </w:rPr>
        <w:t>（单位公章）</w:t>
      </w:r>
      <w:r>
        <w:rPr>
          <w:rFonts w:hint="eastAsia" w:ascii="宋体" w:hAnsi="宋体" w:eastAsia="宋体"/>
          <w:bCs/>
          <w:sz w:val="24"/>
          <w:szCs w:val="28"/>
        </w:rPr>
        <w:t>：</w:t>
      </w:r>
      <w:r>
        <w:rPr>
          <w:rFonts w:hint="eastAsia" w:ascii="宋体" w:hAnsi="宋体" w:eastAsia="宋体"/>
          <w:bCs/>
          <w:sz w:val="24"/>
          <w:szCs w:val="28"/>
          <w:u w:val="single"/>
        </w:rPr>
        <w:t xml:space="preserve">                    </w:t>
      </w:r>
    </w:p>
    <w:p w14:paraId="7F108CB2">
      <w:pPr>
        <w:spacing w:line="360" w:lineRule="auto"/>
        <w:ind w:firstLine="3600" w:firstLineChars="1500"/>
        <w:rPr>
          <w:rFonts w:hint="eastAsia" w:ascii="宋体" w:hAnsi="宋体" w:eastAsia="宋体"/>
          <w:sz w:val="24"/>
          <w:szCs w:val="28"/>
        </w:rPr>
      </w:pPr>
      <w:r>
        <w:rPr>
          <w:rFonts w:hint="eastAsia" w:ascii="宋体" w:hAnsi="宋体" w:eastAsia="宋体"/>
          <w:sz w:val="24"/>
          <w:szCs w:val="28"/>
        </w:rPr>
        <w:t xml:space="preserve">日        </w:t>
      </w:r>
      <w:r>
        <w:rPr>
          <w:rFonts w:hint="eastAsia" w:ascii="宋体" w:hAnsi="宋体" w:eastAsia="宋体"/>
          <w:sz w:val="24"/>
          <w:szCs w:val="28"/>
          <w:lang w:val="en-US" w:eastAsia="zh-CN"/>
        </w:rPr>
        <w:t xml:space="preserve">   </w:t>
      </w:r>
      <w:r>
        <w:rPr>
          <w:rFonts w:hint="eastAsia" w:ascii="宋体" w:hAnsi="宋体" w:eastAsia="宋体"/>
          <w:sz w:val="24"/>
          <w:szCs w:val="28"/>
        </w:rPr>
        <w:t xml:space="preserve">  期：</w:t>
      </w:r>
      <w:r>
        <w:rPr>
          <w:rFonts w:hint="eastAsia" w:ascii="宋体" w:hAnsi="宋体" w:eastAsia="宋体"/>
          <w:sz w:val="24"/>
          <w:szCs w:val="28"/>
          <w:u w:val="single"/>
        </w:rPr>
        <w:t xml:space="preserve">                    </w:t>
      </w:r>
    </w:p>
    <w:p w14:paraId="38F28A11">
      <w:pPr>
        <w:spacing w:line="360" w:lineRule="auto"/>
        <w:rPr>
          <w:rFonts w:hint="eastAsia" w:ascii="宋体" w:hAnsi="宋体" w:eastAsia="宋体"/>
          <w:sz w:val="24"/>
          <w:szCs w:val="28"/>
        </w:rPr>
      </w:pPr>
    </w:p>
    <w:p w14:paraId="4BA77C53">
      <w:pPr>
        <w:spacing w:line="360" w:lineRule="auto"/>
        <w:rPr>
          <w:rFonts w:hint="eastAsia" w:ascii="宋体" w:hAnsi="宋体" w:eastAsia="宋体"/>
          <w:sz w:val="24"/>
          <w:szCs w:val="28"/>
        </w:rPr>
      </w:pPr>
    </w:p>
    <w:p w14:paraId="7359674C">
      <w:pPr>
        <w:pStyle w:val="6"/>
        <w:snapToGrid w:val="0"/>
        <w:spacing w:line="360" w:lineRule="auto"/>
        <w:jc w:val="left"/>
        <w:rPr>
          <w:rFonts w:hint="eastAsia" w:hAnsi="宋体" w:eastAsia="宋体"/>
          <w:sz w:val="24"/>
          <w:szCs w:val="28"/>
        </w:rPr>
      </w:pPr>
      <w:r>
        <w:rPr>
          <w:rFonts w:hint="eastAsia" w:hAnsi="宋体" w:eastAsia="宋体"/>
          <w:sz w:val="24"/>
          <w:szCs w:val="28"/>
        </w:rPr>
        <w:t>注：</w:t>
      </w:r>
    </w:p>
    <w:p w14:paraId="47DCC512">
      <w:pPr>
        <w:pStyle w:val="6"/>
        <w:snapToGrid w:val="0"/>
        <w:spacing w:line="360" w:lineRule="auto"/>
        <w:jc w:val="left"/>
        <w:rPr>
          <w:rFonts w:hint="eastAsia" w:hAnsi="宋体" w:eastAsia="宋体"/>
          <w:sz w:val="24"/>
          <w:szCs w:val="28"/>
        </w:rPr>
      </w:pPr>
      <w:r>
        <w:rPr>
          <w:rFonts w:hint="eastAsia" w:hAnsi="宋体" w:eastAsia="宋体"/>
          <w:sz w:val="24"/>
          <w:szCs w:val="28"/>
        </w:rPr>
        <w:t>1.本项目只允许有唯一的供应商授权代表，提供身份证明扫描件或影印件；</w:t>
      </w:r>
    </w:p>
    <w:p w14:paraId="7B81241E">
      <w:pPr>
        <w:spacing w:line="360" w:lineRule="auto"/>
        <w:jc w:val="left"/>
        <w:rPr>
          <w:rFonts w:hint="eastAsia" w:ascii="宋体" w:hAnsi="宋体" w:eastAsia="宋体"/>
          <w:sz w:val="24"/>
        </w:rPr>
      </w:pPr>
      <w:r>
        <w:rPr>
          <w:rFonts w:hint="eastAsia" w:ascii="宋体" w:hAnsi="宋体" w:eastAsia="宋体"/>
          <w:sz w:val="24"/>
        </w:rPr>
        <w:t>2.法定代表人参加磋商的无需提供授权书，仅提供身份证明扫描件或影印件。</w:t>
      </w:r>
    </w:p>
    <w:p w14:paraId="24539846">
      <w:pPr>
        <w:rPr>
          <w:b/>
          <w:sz w:val="32"/>
          <w:szCs w:val="32"/>
        </w:rPr>
      </w:pPr>
      <w:r>
        <w:rPr>
          <w:rFonts w:hint="eastAsia"/>
          <w:b/>
          <w:sz w:val="32"/>
          <w:szCs w:val="32"/>
        </w:rPr>
        <w:br w:type="page"/>
      </w:r>
    </w:p>
    <w:p w14:paraId="36057532">
      <w:pPr>
        <w:pStyle w:val="13"/>
      </w:pPr>
    </w:p>
    <w:p w14:paraId="0A6DC8BF">
      <w:pPr>
        <w:pStyle w:val="10"/>
        <w:rPr>
          <w:sz w:val="32"/>
        </w:rPr>
      </w:pPr>
      <w:r>
        <w:rPr>
          <w:rFonts w:hint="eastAsia"/>
          <w:sz w:val="32"/>
          <w:lang w:val="en-US" w:eastAsia="zh-CN"/>
        </w:rPr>
        <w:t>四</w:t>
      </w:r>
      <w:r>
        <w:rPr>
          <w:rFonts w:hint="eastAsia"/>
          <w:sz w:val="32"/>
        </w:rPr>
        <w:t>、</w:t>
      </w:r>
      <w:bookmarkEnd w:id="20"/>
      <w:bookmarkEnd w:id="21"/>
      <w:bookmarkEnd w:id="22"/>
      <w:bookmarkEnd w:id="23"/>
      <w:bookmarkEnd w:id="24"/>
      <w:bookmarkEnd w:id="25"/>
      <w:r>
        <w:rPr>
          <w:rFonts w:hint="eastAsia"/>
          <w:sz w:val="32"/>
        </w:rPr>
        <w:t>投标报价一览表</w:t>
      </w:r>
    </w:p>
    <w:p w14:paraId="30BB091A"/>
    <w:p w14:paraId="1258E963">
      <w:pPr>
        <w:snapToGrid w:val="0"/>
        <w:spacing w:line="360" w:lineRule="auto"/>
        <w:jc w:val="left"/>
        <w:rPr>
          <w:rFonts w:hint="eastAsia"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p>
    <w:p w14:paraId="77FE449E">
      <w:pPr>
        <w:snapToGrid w:val="0"/>
        <w:spacing w:after="156" w:afterLines="50" w:line="360" w:lineRule="auto"/>
        <w:jc w:val="left"/>
        <w:rPr>
          <w:rFonts w:hint="eastAsia"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5D1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09B5071">
            <w:pPr>
              <w:spacing w:line="360" w:lineRule="auto"/>
              <w:jc w:val="center"/>
              <w:rPr>
                <w:rFonts w:hint="eastAsia"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1169E063">
            <w:pPr>
              <w:spacing w:line="360" w:lineRule="auto"/>
              <w:rPr>
                <w:rFonts w:hint="eastAsia" w:ascii="宋体" w:hAnsi="宋体" w:eastAsia="宋体"/>
                <w:b/>
                <w:sz w:val="24"/>
              </w:rPr>
            </w:pPr>
          </w:p>
        </w:tc>
      </w:tr>
      <w:tr w14:paraId="76A2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0B068D5">
            <w:pPr>
              <w:spacing w:line="360" w:lineRule="exact"/>
              <w:jc w:val="center"/>
              <w:rPr>
                <w:rFonts w:hint="eastAsia" w:ascii="宋体" w:hAnsi="宋体" w:eastAsia="宋体"/>
                <w:b/>
                <w:sz w:val="24"/>
              </w:rPr>
            </w:pPr>
            <w:r>
              <w:rPr>
                <w:rFonts w:hint="eastAsia" w:ascii="宋体" w:hAnsi="宋体" w:eastAsia="宋体"/>
                <w:b/>
                <w:sz w:val="24"/>
              </w:rPr>
              <w:t>竞标范围</w:t>
            </w:r>
          </w:p>
        </w:tc>
        <w:tc>
          <w:tcPr>
            <w:tcW w:w="3557" w:type="pct"/>
            <w:tcBorders>
              <w:left w:val="single" w:color="auto" w:sz="4" w:space="0"/>
            </w:tcBorders>
            <w:vAlign w:val="center"/>
          </w:tcPr>
          <w:p w14:paraId="0AB25639">
            <w:pPr>
              <w:widowControl/>
              <w:spacing w:line="360" w:lineRule="exact"/>
              <w:rPr>
                <w:rFonts w:hint="eastAsia" w:ascii="宋体" w:hAnsi="宋体" w:eastAsia="宋体"/>
                <w:b/>
                <w:sz w:val="24"/>
              </w:rPr>
            </w:pPr>
            <w:r>
              <w:rPr>
                <w:rFonts w:hint="eastAsia" w:asciiTheme="minorEastAsia" w:hAnsiTheme="minorEastAsia"/>
                <w:sz w:val="24"/>
                <w:szCs w:val="28"/>
              </w:rPr>
              <w:t xml:space="preserve">全部 </w:t>
            </w:r>
          </w:p>
        </w:tc>
      </w:tr>
      <w:tr w14:paraId="247A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52C3599">
            <w:pPr>
              <w:spacing w:line="360" w:lineRule="auto"/>
              <w:jc w:val="center"/>
              <w:rPr>
                <w:rFonts w:hint="eastAsia" w:ascii="宋体" w:hAnsi="宋体" w:eastAsia="宋体"/>
                <w:b/>
                <w:sz w:val="24"/>
              </w:rPr>
            </w:pPr>
            <w:r>
              <w:rPr>
                <w:rFonts w:hint="eastAsia" w:ascii="宋体" w:hAnsi="宋体" w:eastAsia="宋体"/>
                <w:b/>
                <w:sz w:val="24"/>
              </w:rPr>
              <w:t>报价</w:t>
            </w:r>
          </w:p>
          <w:p w14:paraId="1C110520">
            <w:pPr>
              <w:spacing w:line="360" w:lineRule="auto"/>
              <w:jc w:val="center"/>
              <w:rPr>
                <w:rFonts w:hint="eastAsia" w:ascii="宋体" w:hAnsi="宋体" w:eastAsia="宋体"/>
                <w:b/>
                <w:sz w:val="24"/>
              </w:rPr>
            </w:pPr>
            <w:r>
              <w:rPr>
                <w:rFonts w:hint="eastAsia" w:ascii="宋体" w:hAnsi="宋体" w:eastAsia="宋体"/>
                <w:b/>
                <w:sz w:val="24"/>
              </w:rPr>
              <w:t>（详见备注说明）</w:t>
            </w:r>
          </w:p>
        </w:tc>
        <w:tc>
          <w:tcPr>
            <w:tcW w:w="3557" w:type="pct"/>
            <w:vAlign w:val="center"/>
          </w:tcPr>
          <w:p w14:paraId="53FE6E98">
            <w:pPr>
              <w:snapToGrid w:val="0"/>
              <w:spacing w:line="360" w:lineRule="auto"/>
              <w:rPr>
                <w:rFonts w:hint="eastAsia" w:ascii="宋体" w:hAnsi="宋体" w:eastAsia="宋体"/>
                <w:sz w:val="24"/>
                <w:szCs w:val="28"/>
              </w:rPr>
            </w:pPr>
          </w:p>
          <w:p w14:paraId="62E5B27B">
            <w:pPr>
              <w:snapToGrid w:val="0"/>
              <w:spacing w:line="360" w:lineRule="auto"/>
              <w:rPr>
                <w:rFonts w:hint="eastAsia" w:ascii="宋体" w:hAnsi="宋体" w:eastAsia="宋体"/>
                <w:bCs/>
                <w:sz w:val="24"/>
              </w:rPr>
            </w:pPr>
            <w:r>
              <w:rPr>
                <w:rFonts w:hint="eastAsia" w:ascii="宋体" w:hAnsi="宋体" w:eastAsia="宋体"/>
                <w:bCs/>
                <w:sz w:val="24"/>
              </w:rPr>
              <w:t>人民币大写：</w:t>
            </w:r>
            <w:r>
              <w:rPr>
                <w:rFonts w:hint="eastAsia" w:ascii="宋体" w:hAnsi="宋体" w:eastAsia="宋体"/>
                <w:bCs/>
                <w:sz w:val="24"/>
                <w:u w:val="single"/>
              </w:rPr>
              <w:t xml:space="preserve">          </w:t>
            </w:r>
            <w:r>
              <w:rPr>
                <w:rFonts w:hint="eastAsia" w:ascii="宋体" w:hAnsi="宋体" w:eastAsia="宋体"/>
                <w:bCs/>
                <w:sz w:val="24"/>
              </w:rPr>
              <w:t>元/人/年。</w:t>
            </w:r>
          </w:p>
          <w:p w14:paraId="20FCFCCA">
            <w:pPr>
              <w:snapToGrid w:val="0"/>
              <w:spacing w:line="360" w:lineRule="auto"/>
              <w:rPr>
                <w:rFonts w:hint="eastAsia" w:ascii="宋体" w:hAnsi="宋体" w:eastAsia="宋体"/>
                <w:b/>
                <w:sz w:val="24"/>
              </w:rPr>
            </w:pPr>
          </w:p>
        </w:tc>
      </w:tr>
      <w:tr w14:paraId="043D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0F24911C">
            <w:pPr>
              <w:spacing w:line="360" w:lineRule="auto"/>
              <w:jc w:val="center"/>
              <w:rPr>
                <w:rFonts w:hint="eastAsia" w:ascii="宋体" w:hAnsi="宋体" w:eastAsia="宋体"/>
                <w:b/>
                <w:sz w:val="24"/>
              </w:rPr>
            </w:pPr>
            <w:r>
              <w:rPr>
                <w:rFonts w:hint="eastAsia" w:ascii="宋体" w:hAnsi="宋体" w:eastAsia="宋体"/>
                <w:b/>
                <w:sz w:val="24"/>
              </w:rPr>
              <w:t>备注说明</w:t>
            </w:r>
          </w:p>
        </w:tc>
        <w:tc>
          <w:tcPr>
            <w:tcW w:w="3557" w:type="pct"/>
          </w:tcPr>
          <w:p w14:paraId="08DF9400">
            <w:pPr>
              <w:spacing w:line="360" w:lineRule="auto"/>
              <w:rPr>
                <w:rFonts w:hint="eastAsia" w:ascii="宋体" w:hAnsi="宋体" w:eastAsia="宋体"/>
                <w:b/>
                <w:sz w:val="24"/>
              </w:rPr>
            </w:pPr>
          </w:p>
        </w:tc>
      </w:tr>
    </w:tbl>
    <w:p w14:paraId="4570B13E">
      <w:pPr>
        <w:spacing w:line="440" w:lineRule="exact"/>
        <w:ind w:firstLine="5520" w:firstLineChars="2300"/>
        <w:rPr>
          <w:rFonts w:hint="eastAsia" w:ascii="宋体" w:hAnsi="宋体" w:eastAsia="宋体"/>
          <w:sz w:val="24"/>
          <w:szCs w:val="24"/>
        </w:rPr>
      </w:pPr>
      <w:r>
        <w:rPr>
          <w:rFonts w:hint="eastAsia" w:ascii="宋体" w:hAnsi="宋体" w:eastAsia="宋体"/>
          <w:sz w:val="24"/>
          <w:szCs w:val="24"/>
        </w:rPr>
        <w:t>供应商</w:t>
      </w:r>
      <w:r>
        <w:rPr>
          <w:rFonts w:hint="eastAsia" w:ascii="宋体" w:hAnsi="宋体" w:eastAsia="宋体" w:cs="宋体"/>
          <w:sz w:val="24"/>
          <w:szCs w:val="24"/>
        </w:rPr>
        <w:t>单位公章</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w:t>
      </w:r>
    </w:p>
    <w:p w14:paraId="0F4C6C7F">
      <w:pPr>
        <w:spacing w:line="440" w:lineRule="exact"/>
        <w:ind w:firstLine="5520" w:firstLineChars="2300"/>
        <w:rPr>
          <w:rFonts w:hint="eastAsia"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14:paraId="01EAF6DE">
      <w:pPr>
        <w:adjustRightInd w:val="0"/>
        <w:snapToGrid w:val="0"/>
        <w:spacing w:line="360" w:lineRule="auto"/>
        <w:rPr>
          <w:rFonts w:hint="eastAsia" w:ascii="宋体" w:hAnsi="宋体" w:eastAsia="宋体"/>
          <w:b/>
          <w:bCs/>
          <w:sz w:val="24"/>
          <w:szCs w:val="28"/>
        </w:rPr>
      </w:pPr>
      <w:r>
        <w:rPr>
          <w:rFonts w:hint="eastAsia" w:ascii="宋体" w:hAnsi="宋体" w:eastAsia="宋体"/>
          <w:b/>
          <w:bCs/>
          <w:sz w:val="24"/>
          <w:szCs w:val="28"/>
        </w:rPr>
        <w:t>注：</w:t>
      </w:r>
    </w:p>
    <w:p w14:paraId="2E0D5500">
      <w:pPr>
        <w:adjustRightInd w:val="0"/>
        <w:snapToGrid w:val="0"/>
        <w:spacing w:line="360" w:lineRule="auto"/>
        <w:ind w:firstLine="482" w:firstLineChars="200"/>
        <w:rPr>
          <w:rFonts w:hint="eastAsia" w:ascii="宋体" w:hAnsi="宋体" w:eastAsia="宋体"/>
          <w:sz w:val="24"/>
        </w:rPr>
      </w:pPr>
      <w:r>
        <w:rPr>
          <w:rFonts w:hint="eastAsia" w:ascii="宋体" w:hAnsi="宋体" w:eastAsia="宋体"/>
          <w:b/>
          <w:bCs/>
          <w:sz w:val="24"/>
          <w:szCs w:val="28"/>
        </w:rPr>
        <w:t>1.本表内容根据磋商文件要求包括了服务及其配套的设计、采购、制造、检测、试验、运输、保险、仓储、税费以及现场落地、安装及安装耗损、调试、验收、培训、技术服务（包括技术资料、图纸的提供）质保期内的售后服务保障等所有费用。</w:t>
      </w:r>
    </w:p>
    <w:p w14:paraId="5082BD3D">
      <w:pPr>
        <w:adjustRightInd w:val="0"/>
        <w:snapToGrid w:val="0"/>
        <w:spacing w:line="360" w:lineRule="auto"/>
        <w:ind w:firstLine="482" w:firstLineChars="200"/>
        <w:rPr>
          <w:rFonts w:hint="eastAsia" w:ascii="宋体" w:hAnsi="宋体" w:eastAsia="宋体"/>
          <w:b/>
          <w:bCs/>
          <w:sz w:val="24"/>
          <w:szCs w:val="28"/>
        </w:rPr>
      </w:pPr>
      <w:r>
        <w:rPr>
          <w:rFonts w:hint="eastAsia" w:ascii="宋体" w:hAnsi="宋体" w:eastAsia="宋体"/>
          <w:b/>
          <w:bCs/>
          <w:sz w:val="24"/>
          <w:szCs w:val="28"/>
        </w:rPr>
        <w:t>2.特殊事项在备注中注明。</w:t>
      </w:r>
    </w:p>
    <w:p w14:paraId="42A2AEA4">
      <w:pPr>
        <w:ind w:firstLine="560" w:firstLineChars="200"/>
        <w:rPr>
          <w:rFonts w:hint="eastAsia" w:ascii="宋体" w:hAnsi="宋体"/>
          <w:sz w:val="28"/>
          <w:szCs w:val="28"/>
        </w:rPr>
      </w:pPr>
      <w:r>
        <w:rPr>
          <w:rFonts w:ascii="宋体" w:hAnsi="宋体"/>
          <w:sz w:val="28"/>
          <w:szCs w:val="28"/>
        </w:rPr>
        <w:br w:type="page"/>
      </w:r>
    </w:p>
    <w:p w14:paraId="7612AF7A">
      <w:pPr>
        <w:pStyle w:val="10"/>
        <w:rPr>
          <w:sz w:val="32"/>
        </w:rPr>
      </w:pPr>
      <w:r>
        <w:rPr>
          <w:rFonts w:hint="eastAsia"/>
          <w:sz w:val="32"/>
          <w:lang w:val="en-US" w:eastAsia="zh-CN"/>
        </w:rPr>
        <w:t>五</w:t>
      </w:r>
      <w:r>
        <w:rPr>
          <w:rFonts w:hint="eastAsia"/>
          <w:sz w:val="32"/>
        </w:rPr>
        <w:t>、服务响应方案</w:t>
      </w:r>
    </w:p>
    <w:p w14:paraId="45E2DCB9">
      <w:pPr>
        <w:jc w:val="center"/>
        <w:rPr>
          <w:rFonts w:hint="eastAsia" w:ascii="宋体" w:hAnsi="宋体" w:eastAsia="宋体" w:cs="宋体"/>
          <w:b/>
          <w:bCs/>
          <w:sz w:val="24"/>
          <w:szCs w:val="24"/>
        </w:rPr>
      </w:pPr>
    </w:p>
    <w:p w14:paraId="2B3A735C">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类似业绩</w:t>
      </w:r>
    </w:p>
    <w:p w14:paraId="7C685534">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所投设备质量要求</w:t>
      </w:r>
    </w:p>
    <w:p w14:paraId="4999A25A">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智慧体测管理系统</w:t>
      </w:r>
    </w:p>
    <w:p w14:paraId="25F63748">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知识产权</w:t>
      </w:r>
    </w:p>
    <w:p w14:paraId="71B37DCD">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应急预案</w:t>
      </w:r>
    </w:p>
    <w:p w14:paraId="0DEE079A">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服务方案</w:t>
      </w:r>
    </w:p>
    <w:p w14:paraId="7FA66899"/>
    <w:p w14:paraId="2E07A4A1">
      <w:pPr>
        <w:rPr>
          <w:sz w:val="32"/>
        </w:rPr>
      </w:pPr>
      <w:r>
        <w:rPr>
          <w:rFonts w:hint="eastAsia"/>
          <w:sz w:val="32"/>
        </w:rPr>
        <w:br w:type="page"/>
      </w:r>
    </w:p>
    <w:p w14:paraId="76436F74">
      <w:pPr>
        <w:pStyle w:val="10"/>
        <w:rPr>
          <w:sz w:val="32"/>
        </w:rPr>
      </w:pPr>
      <w:r>
        <w:rPr>
          <w:rFonts w:hint="eastAsia"/>
          <w:sz w:val="32"/>
          <w:lang w:val="en-US" w:eastAsia="zh-CN"/>
        </w:rPr>
        <w:t>六</w:t>
      </w:r>
      <w:r>
        <w:rPr>
          <w:rFonts w:hint="eastAsia"/>
          <w:sz w:val="32"/>
        </w:rPr>
        <w:t>、服务承诺书</w:t>
      </w:r>
    </w:p>
    <w:p w14:paraId="1417B379">
      <w:pPr>
        <w:spacing w:line="560" w:lineRule="exact"/>
        <w:jc w:val="center"/>
        <w:rPr>
          <w:sz w:val="24"/>
          <w:szCs w:val="24"/>
        </w:rPr>
      </w:pPr>
      <w:r>
        <w:rPr>
          <w:rFonts w:hint="eastAsia"/>
          <w:sz w:val="24"/>
          <w:szCs w:val="24"/>
        </w:rPr>
        <w:t>（格式可根据需求自拟）</w:t>
      </w:r>
    </w:p>
    <w:p w14:paraId="6C4CE605">
      <w:pPr>
        <w:spacing w:line="560" w:lineRule="exact"/>
        <w:rPr>
          <w:sz w:val="24"/>
          <w:szCs w:val="24"/>
        </w:rPr>
      </w:pPr>
    </w:p>
    <w:tbl>
      <w:tblPr>
        <w:tblStyle w:val="16"/>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980"/>
      </w:tblGrid>
      <w:tr w14:paraId="4E91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660" w:type="dxa"/>
            <w:vAlign w:val="center"/>
          </w:tcPr>
          <w:p w14:paraId="5D214F71">
            <w:pPr>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质量要求</w:t>
            </w:r>
          </w:p>
          <w:p w14:paraId="61F1852E">
            <w:pPr>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是否响应招标文件</w:t>
            </w:r>
          </w:p>
          <w:p w14:paraId="098F1B78">
            <w:pPr>
              <w:spacing w:line="360" w:lineRule="auto"/>
              <w:jc w:val="center"/>
              <w:rPr>
                <w:rFonts w:hint="eastAsia" w:ascii="宋体" w:hAnsi="宋体" w:eastAsia="宋体" w:cs="宋体"/>
                <w:bCs/>
                <w:kern w:val="0"/>
                <w:sz w:val="18"/>
                <w:szCs w:val="18"/>
              </w:rPr>
            </w:pPr>
            <w:r>
              <w:rPr>
                <w:rFonts w:ascii="Times New Roman" w:hAnsi="Times New Roman" w:eastAsia="宋体" w:cs="Times New Roman"/>
                <w:kern w:val="0"/>
                <w:sz w:val="18"/>
                <w:szCs w:val="18"/>
              </w:rPr>
              <w:t>（请填写“响应”或者“不响应”）</w:t>
            </w:r>
          </w:p>
        </w:tc>
        <w:tc>
          <w:tcPr>
            <w:tcW w:w="5980" w:type="dxa"/>
            <w:vAlign w:val="center"/>
          </w:tcPr>
          <w:p w14:paraId="521D7155">
            <w:pPr>
              <w:spacing w:line="360" w:lineRule="auto"/>
              <w:jc w:val="center"/>
              <w:rPr>
                <w:rFonts w:hint="eastAsia" w:ascii="宋体" w:hAnsi="宋体" w:eastAsia="宋体" w:cs="宋体"/>
                <w:bCs/>
                <w:kern w:val="0"/>
                <w:sz w:val="24"/>
                <w:szCs w:val="24"/>
              </w:rPr>
            </w:pPr>
          </w:p>
        </w:tc>
      </w:tr>
      <w:tr w14:paraId="42B5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660" w:type="dxa"/>
            <w:vAlign w:val="center"/>
          </w:tcPr>
          <w:p w14:paraId="43BB8198">
            <w:pPr>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付款方式</w:t>
            </w:r>
          </w:p>
          <w:p w14:paraId="0B677F7C">
            <w:pPr>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是否响应招标文件</w:t>
            </w:r>
          </w:p>
          <w:p w14:paraId="1C9274AB">
            <w:pPr>
              <w:spacing w:line="360" w:lineRule="auto"/>
              <w:jc w:val="center"/>
              <w:rPr>
                <w:rFonts w:hint="eastAsia" w:ascii="宋体" w:hAnsi="宋体" w:eastAsia="宋体" w:cs="宋体"/>
                <w:bCs/>
                <w:kern w:val="0"/>
                <w:sz w:val="24"/>
                <w:szCs w:val="24"/>
              </w:rPr>
            </w:pPr>
            <w:r>
              <w:rPr>
                <w:rFonts w:ascii="Times New Roman" w:hAnsi="Times New Roman" w:eastAsia="宋体" w:cs="Times New Roman"/>
                <w:kern w:val="0"/>
                <w:sz w:val="18"/>
                <w:szCs w:val="18"/>
              </w:rPr>
              <w:t>（请填写“响应”或者“不响应”）</w:t>
            </w:r>
          </w:p>
        </w:tc>
        <w:tc>
          <w:tcPr>
            <w:tcW w:w="5980" w:type="dxa"/>
            <w:vAlign w:val="center"/>
          </w:tcPr>
          <w:p w14:paraId="39927593">
            <w:pPr>
              <w:spacing w:line="360" w:lineRule="auto"/>
              <w:jc w:val="center"/>
              <w:rPr>
                <w:rFonts w:hint="eastAsia" w:ascii="宋体" w:hAnsi="宋体" w:eastAsia="宋体" w:cs="宋体"/>
                <w:bCs/>
                <w:kern w:val="0"/>
                <w:sz w:val="24"/>
                <w:szCs w:val="24"/>
              </w:rPr>
            </w:pPr>
          </w:p>
        </w:tc>
      </w:tr>
      <w:tr w14:paraId="73AF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trPr>
        <w:tc>
          <w:tcPr>
            <w:tcW w:w="2660" w:type="dxa"/>
            <w:vAlign w:val="center"/>
          </w:tcPr>
          <w:p w14:paraId="42DA3DF4">
            <w:pPr>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其他优惠条件和服务承诺（如有则填写，没有填“无”）</w:t>
            </w:r>
          </w:p>
        </w:tc>
        <w:tc>
          <w:tcPr>
            <w:tcW w:w="5980" w:type="dxa"/>
            <w:vAlign w:val="center"/>
          </w:tcPr>
          <w:p w14:paraId="4987A41D">
            <w:pPr>
              <w:spacing w:line="360" w:lineRule="auto"/>
              <w:jc w:val="center"/>
              <w:rPr>
                <w:rFonts w:hint="eastAsia" w:ascii="宋体" w:hAnsi="宋体" w:eastAsia="宋体" w:cs="宋体"/>
                <w:bCs/>
                <w:kern w:val="0"/>
                <w:sz w:val="24"/>
                <w:szCs w:val="24"/>
              </w:rPr>
            </w:pPr>
          </w:p>
        </w:tc>
      </w:tr>
      <w:tr w14:paraId="28B7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2660" w:type="dxa"/>
          </w:tcPr>
          <w:p w14:paraId="39FDFB2D">
            <w:pPr>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其他说明：</w:t>
            </w:r>
          </w:p>
        </w:tc>
        <w:tc>
          <w:tcPr>
            <w:tcW w:w="5980" w:type="dxa"/>
            <w:vAlign w:val="center"/>
          </w:tcPr>
          <w:p w14:paraId="5F99C217">
            <w:pPr>
              <w:spacing w:line="360" w:lineRule="auto"/>
              <w:jc w:val="left"/>
              <w:rPr>
                <w:rFonts w:hint="eastAsia" w:ascii="宋体" w:hAnsi="宋体" w:eastAsia="宋体" w:cs="宋体"/>
                <w:bCs/>
                <w:kern w:val="0"/>
                <w:sz w:val="24"/>
                <w:szCs w:val="24"/>
              </w:rPr>
            </w:pPr>
          </w:p>
        </w:tc>
      </w:tr>
    </w:tbl>
    <w:p w14:paraId="2FBC40F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641651B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投标人（盖章）：                          </w:t>
      </w:r>
    </w:p>
    <w:p w14:paraId="474B07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法定代表人签字：                   </w:t>
      </w:r>
    </w:p>
    <w:p w14:paraId="2476D6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3D41D"/>
    <w:multiLevelType w:val="singleLevel"/>
    <w:tmpl w:val="D8F3D41D"/>
    <w:lvl w:ilvl="0" w:tentative="0">
      <w:start w:val="9"/>
      <w:numFmt w:val="chineseCounting"/>
      <w:suff w:val="nothing"/>
      <w:lvlText w:val="%1、"/>
      <w:lvlJc w:val="left"/>
      <w:rPr>
        <w:rFonts w:hint="eastAsia"/>
      </w:rPr>
    </w:lvl>
  </w:abstractNum>
  <w:abstractNum w:abstractNumId="1">
    <w:nsid w:val="E64F8ADF"/>
    <w:multiLevelType w:val="singleLevel"/>
    <w:tmpl w:val="E64F8ADF"/>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OTZkM2Q4MDhiZGY2MGY4Y2Q5YjlmMjNlYjc3ZDkifQ=="/>
  </w:docVars>
  <w:rsids>
    <w:rsidRoot w:val="00844B2C"/>
    <w:rsid w:val="000035A7"/>
    <w:rsid w:val="0000367D"/>
    <w:rsid w:val="00055A31"/>
    <w:rsid w:val="00056AA7"/>
    <w:rsid w:val="00091C58"/>
    <w:rsid w:val="000942CA"/>
    <w:rsid w:val="00096402"/>
    <w:rsid w:val="000978F6"/>
    <w:rsid w:val="000B4881"/>
    <w:rsid w:val="000C173C"/>
    <w:rsid w:val="000F006C"/>
    <w:rsid w:val="001221D6"/>
    <w:rsid w:val="00124DDE"/>
    <w:rsid w:val="00150B3A"/>
    <w:rsid w:val="00186EF2"/>
    <w:rsid w:val="001935C2"/>
    <w:rsid w:val="001A2FAF"/>
    <w:rsid w:val="001B16B1"/>
    <w:rsid w:val="001D17E5"/>
    <w:rsid w:val="00200C2A"/>
    <w:rsid w:val="00202ED9"/>
    <w:rsid w:val="00240E17"/>
    <w:rsid w:val="00262A4D"/>
    <w:rsid w:val="00266489"/>
    <w:rsid w:val="00270EF9"/>
    <w:rsid w:val="00272D3B"/>
    <w:rsid w:val="00274953"/>
    <w:rsid w:val="00277261"/>
    <w:rsid w:val="002A0CF6"/>
    <w:rsid w:val="002B1121"/>
    <w:rsid w:val="002D3727"/>
    <w:rsid w:val="002E2337"/>
    <w:rsid w:val="002F3AB8"/>
    <w:rsid w:val="00301A39"/>
    <w:rsid w:val="0030214E"/>
    <w:rsid w:val="003074F0"/>
    <w:rsid w:val="00307EE7"/>
    <w:rsid w:val="00313615"/>
    <w:rsid w:val="00323600"/>
    <w:rsid w:val="0033303B"/>
    <w:rsid w:val="00347718"/>
    <w:rsid w:val="0035292C"/>
    <w:rsid w:val="00355E8A"/>
    <w:rsid w:val="003626F5"/>
    <w:rsid w:val="00387A1A"/>
    <w:rsid w:val="00393D5A"/>
    <w:rsid w:val="00395168"/>
    <w:rsid w:val="003C15C0"/>
    <w:rsid w:val="003E3ED1"/>
    <w:rsid w:val="00414560"/>
    <w:rsid w:val="004153C3"/>
    <w:rsid w:val="00432AB4"/>
    <w:rsid w:val="00435872"/>
    <w:rsid w:val="00437CD6"/>
    <w:rsid w:val="004477F9"/>
    <w:rsid w:val="00452163"/>
    <w:rsid w:val="0046597C"/>
    <w:rsid w:val="00465EC7"/>
    <w:rsid w:val="004A6CB7"/>
    <w:rsid w:val="004A7A07"/>
    <w:rsid w:val="004B6E2E"/>
    <w:rsid w:val="004D287B"/>
    <w:rsid w:val="004D4839"/>
    <w:rsid w:val="004E2487"/>
    <w:rsid w:val="004E26A7"/>
    <w:rsid w:val="00513254"/>
    <w:rsid w:val="00555BDA"/>
    <w:rsid w:val="00556722"/>
    <w:rsid w:val="00556C71"/>
    <w:rsid w:val="0056377A"/>
    <w:rsid w:val="005662E3"/>
    <w:rsid w:val="00567E59"/>
    <w:rsid w:val="005B6936"/>
    <w:rsid w:val="005B70CD"/>
    <w:rsid w:val="00601449"/>
    <w:rsid w:val="00602838"/>
    <w:rsid w:val="00602E1D"/>
    <w:rsid w:val="0060716B"/>
    <w:rsid w:val="006776AA"/>
    <w:rsid w:val="00680DF9"/>
    <w:rsid w:val="006958A5"/>
    <w:rsid w:val="006D3991"/>
    <w:rsid w:val="006D5A35"/>
    <w:rsid w:val="006F0AF4"/>
    <w:rsid w:val="006F5342"/>
    <w:rsid w:val="007112EF"/>
    <w:rsid w:val="00722102"/>
    <w:rsid w:val="0073478B"/>
    <w:rsid w:val="007461F5"/>
    <w:rsid w:val="00746F46"/>
    <w:rsid w:val="00756EA5"/>
    <w:rsid w:val="00766268"/>
    <w:rsid w:val="007734B8"/>
    <w:rsid w:val="007960A8"/>
    <w:rsid w:val="007A640A"/>
    <w:rsid w:val="007A64B3"/>
    <w:rsid w:val="007B5169"/>
    <w:rsid w:val="007C51F7"/>
    <w:rsid w:val="007C5587"/>
    <w:rsid w:val="007D31B4"/>
    <w:rsid w:val="007F1AFC"/>
    <w:rsid w:val="007F2546"/>
    <w:rsid w:val="007F670B"/>
    <w:rsid w:val="00802B21"/>
    <w:rsid w:val="0081312D"/>
    <w:rsid w:val="00844184"/>
    <w:rsid w:val="00844B2C"/>
    <w:rsid w:val="0084541F"/>
    <w:rsid w:val="00846500"/>
    <w:rsid w:val="0085462B"/>
    <w:rsid w:val="008554F1"/>
    <w:rsid w:val="00866B9D"/>
    <w:rsid w:val="0088349E"/>
    <w:rsid w:val="008E5D80"/>
    <w:rsid w:val="008F4926"/>
    <w:rsid w:val="00903187"/>
    <w:rsid w:val="00915C2C"/>
    <w:rsid w:val="00954AE1"/>
    <w:rsid w:val="00955FDF"/>
    <w:rsid w:val="00961CB0"/>
    <w:rsid w:val="00976521"/>
    <w:rsid w:val="0098028B"/>
    <w:rsid w:val="00995789"/>
    <w:rsid w:val="009B3F5D"/>
    <w:rsid w:val="009C230F"/>
    <w:rsid w:val="009C55AB"/>
    <w:rsid w:val="009E4FC3"/>
    <w:rsid w:val="00A10191"/>
    <w:rsid w:val="00A13608"/>
    <w:rsid w:val="00A2552E"/>
    <w:rsid w:val="00A257FB"/>
    <w:rsid w:val="00A31AC2"/>
    <w:rsid w:val="00A43D3C"/>
    <w:rsid w:val="00A5090D"/>
    <w:rsid w:val="00A65E26"/>
    <w:rsid w:val="00A67A43"/>
    <w:rsid w:val="00A94BAA"/>
    <w:rsid w:val="00A957B4"/>
    <w:rsid w:val="00A97757"/>
    <w:rsid w:val="00AA129C"/>
    <w:rsid w:val="00AB2311"/>
    <w:rsid w:val="00AD2C98"/>
    <w:rsid w:val="00AD5340"/>
    <w:rsid w:val="00B018DE"/>
    <w:rsid w:val="00B132C5"/>
    <w:rsid w:val="00B15118"/>
    <w:rsid w:val="00B22BB2"/>
    <w:rsid w:val="00B367EE"/>
    <w:rsid w:val="00B8238D"/>
    <w:rsid w:val="00BA3F31"/>
    <w:rsid w:val="00BD3668"/>
    <w:rsid w:val="00BE38B8"/>
    <w:rsid w:val="00BE5667"/>
    <w:rsid w:val="00BE58EE"/>
    <w:rsid w:val="00BF110E"/>
    <w:rsid w:val="00BF2D5A"/>
    <w:rsid w:val="00BF636B"/>
    <w:rsid w:val="00C0091A"/>
    <w:rsid w:val="00C02FE1"/>
    <w:rsid w:val="00C16C8A"/>
    <w:rsid w:val="00C320A0"/>
    <w:rsid w:val="00C34430"/>
    <w:rsid w:val="00C8146C"/>
    <w:rsid w:val="00C84387"/>
    <w:rsid w:val="00CA526F"/>
    <w:rsid w:val="00CA69D3"/>
    <w:rsid w:val="00CC4ACB"/>
    <w:rsid w:val="00CF17BE"/>
    <w:rsid w:val="00D21341"/>
    <w:rsid w:val="00D22B23"/>
    <w:rsid w:val="00D26FC0"/>
    <w:rsid w:val="00D535D9"/>
    <w:rsid w:val="00D64B75"/>
    <w:rsid w:val="00D96480"/>
    <w:rsid w:val="00D96E7F"/>
    <w:rsid w:val="00DA14DD"/>
    <w:rsid w:val="00DB3FA5"/>
    <w:rsid w:val="00DD5905"/>
    <w:rsid w:val="00DD68C9"/>
    <w:rsid w:val="00DE5418"/>
    <w:rsid w:val="00DF7D9C"/>
    <w:rsid w:val="00E11E18"/>
    <w:rsid w:val="00E12E48"/>
    <w:rsid w:val="00E156F6"/>
    <w:rsid w:val="00E20FCD"/>
    <w:rsid w:val="00E25751"/>
    <w:rsid w:val="00E27145"/>
    <w:rsid w:val="00E33687"/>
    <w:rsid w:val="00E623ED"/>
    <w:rsid w:val="00E81A8C"/>
    <w:rsid w:val="00EA3B99"/>
    <w:rsid w:val="00EB2130"/>
    <w:rsid w:val="00ED086F"/>
    <w:rsid w:val="00EE6B2B"/>
    <w:rsid w:val="00EE7D0B"/>
    <w:rsid w:val="00F00130"/>
    <w:rsid w:val="00F131BD"/>
    <w:rsid w:val="00F162BB"/>
    <w:rsid w:val="00F40058"/>
    <w:rsid w:val="00F46E6A"/>
    <w:rsid w:val="00F54B46"/>
    <w:rsid w:val="00F63305"/>
    <w:rsid w:val="00F7082F"/>
    <w:rsid w:val="00F71B4D"/>
    <w:rsid w:val="00F868CB"/>
    <w:rsid w:val="00F90BDF"/>
    <w:rsid w:val="00FA09EF"/>
    <w:rsid w:val="00FA3BBA"/>
    <w:rsid w:val="00FC0B98"/>
    <w:rsid w:val="00FD174F"/>
    <w:rsid w:val="00FD1E7C"/>
    <w:rsid w:val="00FE2573"/>
    <w:rsid w:val="00FE6126"/>
    <w:rsid w:val="00FE6A4B"/>
    <w:rsid w:val="00FF2A26"/>
    <w:rsid w:val="00FF2BCC"/>
    <w:rsid w:val="00FF7D50"/>
    <w:rsid w:val="03F35F59"/>
    <w:rsid w:val="052676B9"/>
    <w:rsid w:val="05D53F2D"/>
    <w:rsid w:val="0749768F"/>
    <w:rsid w:val="07D63493"/>
    <w:rsid w:val="08582392"/>
    <w:rsid w:val="094620D8"/>
    <w:rsid w:val="0A5E16A3"/>
    <w:rsid w:val="0A944157"/>
    <w:rsid w:val="0DA61673"/>
    <w:rsid w:val="0E326721"/>
    <w:rsid w:val="106F4084"/>
    <w:rsid w:val="118F5CE6"/>
    <w:rsid w:val="12252B4B"/>
    <w:rsid w:val="122857C5"/>
    <w:rsid w:val="133253C2"/>
    <w:rsid w:val="13B16CE7"/>
    <w:rsid w:val="17DB1246"/>
    <w:rsid w:val="19AC632B"/>
    <w:rsid w:val="1B132036"/>
    <w:rsid w:val="1CDC3B36"/>
    <w:rsid w:val="1DD41F50"/>
    <w:rsid w:val="1E543D73"/>
    <w:rsid w:val="1E7F1B7A"/>
    <w:rsid w:val="201B3E66"/>
    <w:rsid w:val="22C00CF5"/>
    <w:rsid w:val="24853FA4"/>
    <w:rsid w:val="25EC7460"/>
    <w:rsid w:val="263B050E"/>
    <w:rsid w:val="26F42738"/>
    <w:rsid w:val="2783567B"/>
    <w:rsid w:val="29B449E4"/>
    <w:rsid w:val="29C52B7E"/>
    <w:rsid w:val="2AD20DCB"/>
    <w:rsid w:val="2AF44935"/>
    <w:rsid w:val="2B8221E4"/>
    <w:rsid w:val="2BB67139"/>
    <w:rsid w:val="2D0A029C"/>
    <w:rsid w:val="2D871BCD"/>
    <w:rsid w:val="2EBF4557"/>
    <w:rsid w:val="30A9101A"/>
    <w:rsid w:val="32C83D55"/>
    <w:rsid w:val="35431A3E"/>
    <w:rsid w:val="35582523"/>
    <w:rsid w:val="3584278E"/>
    <w:rsid w:val="367E6AA5"/>
    <w:rsid w:val="39346ABB"/>
    <w:rsid w:val="3B4736B1"/>
    <w:rsid w:val="3DE95A11"/>
    <w:rsid w:val="3E03620E"/>
    <w:rsid w:val="3F3643C1"/>
    <w:rsid w:val="3F406FEE"/>
    <w:rsid w:val="403D52DB"/>
    <w:rsid w:val="41967399"/>
    <w:rsid w:val="424D6740"/>
    <w:rsid w:val="4462401E"/>
    <w:rsid w:val="476475F1"/>
    <w:rsid w:val="476938DB"/>
    <w:rsid w:val="48352D0B"/>
    <w:rsid w:val="496E4757"/>
    <w:rsid w:val="497C4CE3"/>
    <w:rsid w:val="4BF90C50"/>
    <w:rsid w:val="4C060A6E"/>
    <w:rsid w:val="4DBA1817"/>
    <w:rsid w:val="4F2C24D4"/>
    <w:rsid w:val="52295E57"/>
    <w:rsid w:val="524644C3"/>
    <w:rsid w:val="53D40DF4"/>
    <w:rsid w:val="54646E83"/>
    <w:rsid w:val="54A34230"/>
    <w:rsid w:val="55690B8C"/>
    <w:rsid w:val="565D1C68"/>
    <w:rsid w:val="566B44F9"/>
    <w:rsid w:val="567B7E83"/>
    <w:rsid w:val="59F12F67"/>
    <w:rsid w:val="5B260118"/>
    <w:rsid w:val="5C900B9C"/>
    <w:rsid w:val="5D0F02EF"/>
    <w:rsid w:val="5DBF29F0"/>
    <w:rsid w:val="5E6963D1"/>
    <w:rsid w:val="5FC969C1"/>
    <w:rsid w:val="5FCC24AC"/>
    <w:rsid w:val="62684E67"/>
    <w:rsid w:val="64487E45"/>
    <w:rsid w:val="65A73073"/>
    <w:rsid w:val="66131615"/>
    <w:rsid w:val="662E5549"/>
    <w:rsid w:val="67FE4C1E"/>
    <w:rsid w:val="683D39DA"/>
    <w:rsid w:val="68C8761D"/>
    <w:rsid w:val="6BCD3770"/>
    <w:rsid w:val="6D301E4C"/>
    <w:rsid w:val="6E423939"/>
    <w:rsid w:val="6EDD18B4"/>
    <w:rsid w:val="6FDF49A7"/>
    <w:rsid w:val="6FE33454"/>
    <w:rsid w:val="6FF944CB"/>
    <w:rsid w:val="75482B23"/>
    <w:rsid w:val="76342701"/>
    <w:rsid w:val="76E37F2E"/>
    <w:rsid w:val="77000835"/>
    <w:rsid w:val="78890871"/>
    <w:rsid w:val="78E068EC"/>
    <w:rsid w:val="7CD6485C"/>
    <w:rsid w:val="7E0C62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link w:val="2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next w:val="1"/>
    <w:qFormat/>
    <w:uiPriority w:val="0"/>
    <w:pPr>
      <w:ind w:firstLine="645"/>
    </w:pPr>
    <w:rPr>
      <w:rFonts w:ascii="楷体_GB2312" w:hAnsi="Times New Roman" w:eastAsia="楷体_GB2312"/>
      <w:sz w:val="32"/>
      <w:szCs w:val="20"/>
    </w:rPr>
  </w:style>
  <w:style w:type="paragraph" w:styleId="6">
    <w:name w:val="Plain Text"/>
    <w:basedOn w:val="1"/>
    <w:qFormat/>
    <w:uiPriority w:val="99"/>
    <w:rPr>
      <w:rFonts w:ascii="宋体" w:hAnsi="Courier New"/>
    </w:rPr>
  </w:style>
  <w:style w:type="paragraph" w:styleId="7">
    <w:name w:val="Balloon Text"/>
    <w:basedOn w:val="1"/>
    <w:link w:val="24"/>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31"/>
    <w:qFormat/>
    <w:uiPriority w:val="0"/>
    <w:pPr>
      <w:spacing w:before="240" w:after="60" w:line="312" w:lineRule="auto"/>
      <w:jc w:val="center"/>
      <w:outlineLvl w:val="1"/>
    </w:pPr>
    <w:rPr>
      <w:rFonts w:ascii="Cambria" w:hAnsi="Cambria"/>
      <w:b/>
      <w:bCs/>
      <w:kern w:val="28"/>
      <w:szCs w:val="32"/>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13">
    <w:name w:val="Body Text First Indent 2"/>
    <w:basedOn w:val="5"/>
    <w:next w:val="14"/>
    <w:qFormat/>
    <w:uiPriority w:val="99"/>
    <w:pPr>
      <w:spacing w:after="120"/>
      <w:ind w:left="420" w:leftChars="200" w:firstLine="420"/>
    </w:pPr>
    <w:rPr>
      <w:rFonts w:ascii="Times New Roman"/>
      <w:sz w:val="21"/>
      <w:szCs w:val="24"/>
    </w:rPr>
  </w:style>
  <w:style w:type="paragraph" w:customStyle="1" w:styleId="14">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16">
    <w:name w:val="Table Grid"/>
    <w:basedOn w:val="1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customStyle="1" w:styleId="19">
    <w:name w:val="标题 1 字符"/>
    <w:basedOn w:val="17"/>
    <w:link w:val="2"/>
    <w:qFormat/>
    <w:uiPriority w:val="9"/>
    <w:rPr>
      <w:b/>
      <w:bCs/>
      <w:kern w:val="44"/>
      <w:sz w:val="44"/>
      <w:szCs w:val="44"/>
    </w:rPr>
  </w:style>
  <w:style w:type="character" w:customStyle="1" w:styleId="20">
    <w:name w:val="标题 3 字符"/>
    <w:basedOn w:val="17"/>
    <w:link w:val="3"/>
    <w:qFormat/>
    <w:uiPriority w:val="9"/>
    <w:rPr>
      <w:rFonts w:ascii="宋体" w:hAnsi="宋体" w:eastAsia="宋体" w:cs="宋体"/>
      <w:b/>
      <w:bCs/>
      <w:kern w:val="0"/>
      <w:sz w:val="27"/>
      <w:szCs w:val="27"/>
    </w:rPr>
  </w:style>
  <w:style w:type="character" w:customStyle="1" w:styleId="21">
    <w:name w:val="标题 4 字符"/>
    <w:basedOn w:val="17"/>
    <w:link w:val="4"/>
    <w:qFormat/>
    <w:uiPriority w:val="9"/>
    <w:rPr>
      <w:rFonts w:ascii="宋体" w:hAnsi="宋体" w:eastAsia="宋体" w:cs="宋体"/>
      <w:b/>
      <w:bCs/>
      <w:kern w:val="0"/>
      <w:sz w:val="24"/>
      <w:szCs w:val="24"/>
    </w:rPr>
  </w:style>
  <w:style w:type="character" w:customStyle="1" w:styleId="22">
    <w:name w:val="页眉 字符"/>
    <w:basedOn w:val="17"/>
    <w:link w:val="9"/>
    <w:qFormat/>
    <w:uiPriority w:val="99"/>
    <w:rPr>
      <w:sz w:val="18"/>
      <w:szCs w:val="18"/>
    </w:rPr>
  </w:style>
  <w:style w:type="character" w:customStyle="1" w:styleId="23">
    <w:name w:val="页脚 字符"/>
    <w:basedOn w:val="17"/>
    <w:link w:val="8"/>
    <w:qFormat/>
    <w:uiPriority w:val="99"/>
    <w:rPr>
      <w:sz w:val="18"/>
      <w:szCs w:val="18"/>
    </w:rPr>
  </w:style>
  <w:style w:type="character" w:customStyle="1" w:styleId="24">
    <w:name w:val="批注框文本 字符"/>
    <w:basedOn w:val="17"/>
    <w:link w:val="7"/>
    <w:semiHidden/>
    <w:qFormat/>
    <w:uiPriority w:val="99"/>
    <w:rPr>
      <w:sz w:val="18"/>
      <w:szCs w:val="18"/>
    </w:rPr>
  </w:style>
  <w:style w:type="paragraph" w:styleId="25">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Table Text"/>
    <w:basedOn w:val="1"/>
    <w:semiHidden/>
    <w:qFormat/>
    <w:uiPriority w:val="0"/>
    <w:rPr>
      <w:rFonts w:ascii="宋体" w:hAnsi="宋体" w:eastAsia="宋体" w:cs="宋体"/>
      <w:sz w:val="24"/>
      <w:szCs w:val="24"/>
      <w:lang w:eastAsia="en-US"/>
    </w:rPr>
  </w:style>
  <w:style w:type="paragraph" w:customStyle="1" w:styleId="27">
    <w:name w:val="p0"/>
    <w:basedOn w:val="1"/>
    <w:qFormat/>
    <w:uiPriority w:val="0"/>
    <w:pPr>
      <w:widowControl/>
    </w:pPr>
    <w:rPr>
      <w:rFonts w:ascii="Times New Roman" w:hAnsi="Times New Roman"/>
      <w:kern w:val="0"/>
      <w:szCs w:val="21"/>
    </w:rPr>
  </w:style>
  <w:style w:type="paragraph" w:customStyle="1" w:styleId="28">
    <w:name w:val="H1"/>
    <w:basedOn w:val="12"/>
    <w:next w:val="29"/>
    <w:qFormat/>
    <w:uiPriority w:val="0"/>
    <w:pPr>
      <w:spacing w:line="560" w:lineRule="exact"/>
      <w:jc w:val="left"/>
    </w:pPr>
    <w:rPr>
      <w:rFonts w:ascii="宋体" w:hAnsi="宋体" w:cs="宋体"/>
      <w:bCs w:val="0"/>
      <w:color w:val="000000"/>
    </w:rPr>
  </w:style>
  <w:style w:type="paragraph" w:customStyle="1" w:styleId="29">
    <w:name w:val="GW-正文"/>
    <w:basedOn w:val="1"/>
    <w:qFormat/>
    <w:uiPriority w:val="0"/>
    <w:pPr>
      <w:spacing w:line="360" w:lineRule="auto"/>
      <w:ind w:firstLine="200" w:firstLineChars="200"/>
      <w:contextualSpacing/>
    </w:pPr>
    <w:rPr>
      <w:szCs w:val="24"/>
    </w:rPr>
  </w:style>
  <w:style w:type="character" w:customStyle="1" w:styleId="30">
    <w:name w:val="apple-converted-space"/>
    <w:qFormat/>
    <w:uiPriority w:val="99"/>
    <w:rPr>
      <w:rFonts w:cs="Times New Roman"/>
    </w:rPr>
  </w:style>
  <w:style w:type="character" w:customStyle="1" w:styleId="31">
    <w:name w:val="副标题 字符"/>
    <w:link w:val="10"/>
    <w:qFormat/>
    <w:uiPriority w:val="0"/>
    <w:rPr>
      <w:rFonts w:ascii="Cambria" w:hAnsi="Cambria"/>
      <w:b/>
      <w:bCs/>
      <w:kern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7A74D-DD07-4B5C-9315-8F863B233C1D}">
  <ds:schemaRefs/>
</ds:datastoreItem>
</file>

<file path=docProps/app.xml><?xml version="1.0" encoding="utf-8"?>
<Properties xmlns="http://schemas.openxmlformats.org/officeDocument/2006/extended-properties" xmlns:vt="http://schemas.openxmlformats.org/officeDocument/2006/docPropsVTypes">
  <Template>Normal</Template>
  <Pages>16</Pages>
  <Words>6495</Words>
  <Characters>6778</Characters>
  <Lines>44</Lines>
  <Paragraphs>12</Paragraphs>
  <TotalTime>47</TotalTime>
  <ScaleCrop>false</ScaleCrop>
  <LinksUpToDate>false</LinksUpToDate>
  <CharactersWithSpaces>7187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2022-08-29T02:13:00Z</dcterms:created>
  <dc:creator>叶海林</dc:creator>
  <cp:lastModifiedBy>tigr</cp:lastModifiedBy>
  <dcterms:modified xsi:type="dcterms:W3CDTF">2024-10-15T05:52:52Z</dcterms:modified>
  <cp:revision>244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B374ABDE0F3842608A02C2A411F1DB70_13</vt:lpwstr>
  </property>
</Properties>
</file>